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C50" w:rsidRPr="00AF274C" w:rsidRDefault="00AF274C" w:rsidP="00A9098D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INFORME EN PROGRESO</w:t>
      </w:r>
      <w:r w:rsidR="004B6C50" w:rsidRPr="00AF274C">
        <w:rPr>
          <w:b/>
          <w:sz w:val="20"/>
          <w:szCs w:val="20"/>
          <w:lang w:val="es-ES"/>
        </w:rPr>
        <w:tab/>
      </w:r>
      <w:r w:rsidR="004B6C50" w:rsidRPr="00AF274C">
        <w:rPr>
          <w:b/>
          <w:sz w:val="20"/>
          <w:szCs w:val="20"/>
          <w:lang w:val="es-ES"/>
        </w:rPr>
        <w:tab/>
        <w:t>Versió</w:t>
      </w:r>
      <w:r>
        <w:rPr>
          <w:b/>
          <w:sz w:val="20"/>
          <w:szCs w:val="20"/>
          <w:lang w:val="es-ES"/>
        </w:rPr>
        <w:t>n 1</w:t>
      </w:r>
      <w:r>
        <w:rPr>
          <w:b/>
          <w:sz w:val="20"/>
          <w:szCs w:val="20"/>
          <w:lang w:val="es-ES"/>
        </w:rPr>
        <w:tab/>
        <w:t>24 de marzo</w:t>
      </w:r>
      <w:r w:rsidR="004B6C50" w:rsidRPr="00AF274C">
        <w:rPr>
          <w:b/>
          <w:sz w:val="20"/>
          <w:szCs w:val="20"/>
          <w:lang w:val="es-ES"/>
        </w:rPr>
        <w:t xml:space="preserve"> de 2020</w:t>
      </w:r>
    </w:p>
    <w:p w:rsidR="00B73742" w:rsidRDefault="00B73742" w:rsidP="00A9098D">
      <w:pPr>
        <w:rPr>
          <w:sz w:val="20"/>
          <w:szCs w:val="20"/>
          <w:lang w:val="es-ES"/>
        </w:rPr>
      </w:pPr>
    </w:p>
    <w:p w:rsidR="004B6C50" w:rsidRPr="00B73742" w:rsidRDefault="00B73742" w:rsidP="00A9098D">
      <w:pPr>
        <w:rPr>
          <w:sz w:val="18"/>
          <w:szCs w:val="18"/>
          <w:lang w:val="es-ES"/>
        </w:rPr>
      </w:pPr>
      <w:r w:rsidRPr="00B73742">
        <w:rPr>
          <w:sz w:val="18"/>
          <w:szCs w:val="18"/>
          <w:lang w:val="es-ES"/>
        </w:rPr>
        <w:t>Joan-Ramon Laporte</w:t>
      </w:r>
    </w:p>
    <w:p w:rsidR="00B73742" w:rsidRPr="00B73742" w:rsidRDefault="00B73742" w:rsidP="00A9098D">
      <w:pPr>
        <w:rPr>
          <w:sz w:val="18"/>
          <w:szCs w:val="18"/>
          <w:lang w:val="es-ES"/>
        </w:rPr>
      </w:pPr>
      <w:r w:rsidRPr="00B73742">
        <w:rPr>
          <w:sz w:val="18"/>
          <w:szCs w:val="18"/>
          <w:lang w:val="es-ES"/>
        </w:rPr>
        <w:t>Especialista en Farmacología Clínica.</w:t>
      </w:r>
    </w:p>
    <w:p w:rsidR="00B73742" w:rsidRPr="00B73742" w:rsidRDefault="00B73742" w:rsidP="00A9098D">
      <w:pPr>
        <w:rPr>
          <w:sz w:val="18"/>
          <w:szCs w:val="18"/>
          <w:lang w:val="es-ES"/>
        </w:rPr>
      </w:pPr>
      <w:r w:rsidRPr="00B73742">
        <w:rPr>
          <w:sz w:val="18"/>
          <w:szCs w:val="18"/>
          <w:lang w:val="es-ES"/>
        </w:rPr>
        <w:t>Fundació Institut Català de Farmacologia</w:t>
      </w:r>
    </w:p>
    <w:p w:rsidR="00B73742" w:rsidRPr="00B73742" w:rsidRDefault="00B73742" w:rsidP="00A9098D">
      <w:pPr>
        <w:rPr>
          <w:b/>
          <w:sz w:val="18"/>
          <w:szCs w:val="18"/>
          <w:lang w:val="es-ES"/>
        </w:rPr>
      </w:pPr>
      <w:r w:rsidRPr="00B73742">
        <w:rPr>
          <w:sz w:val="18"/>
          <w:szCs w:val="18"/>
          <w:lang w:val="es-ES"/>
        </w:rPr>
        <w:t>Universitat Autònoma de Barcelona.</w:t>
      </w:r>
    </w:p>
    <w:p w:rsidR="004B6C50" w:rsidRPr="00AF274C" w:rsidRDefault="004B6C50" w:rsidP="00A9098D">
      <w:pPr>
        <w:rPr>
          <w:b/>
          <w:sz w:val="20"/>
          <w:szCs w:val="20"/>
          <w:lang w:val="es-ES"/>
        </w:rPr>
      </w:pPr>
    </w:p>
    <w:p w:rsidR="00555F15" w:rsidRPr="00AF274C" w:rsidRDefault="00AF274C" w:rsidP="00A9098D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EN LA EPIDEMIA PO</w:t>
      </w:r>
      <w:r w:rsidR="00555F15" w:rsidRPr="00AF274C">
        <w:rPr>
          <w:b/>
          <w:sz w:val="20"/>
          <w:szCs w:val="20"/>
          <w:lang w:val="es-ES"/>
        </w:rPr>
        <w:t>R SARS-CoV-2</w:t>
      </w:r>
      <w:r>
        <w:rPr>
          <w:b/>
          <w:sz w:val="20"/>
          <w:szCs w:val="20"/>
          <w:lang w:val="es-ES"/>
        </w:rPr>
        <w:t xml:space="preserve"> ES NECESARIO EXTREMAR LA PRUDENCIA CON LO</w:t>
      </w:r>
      <w:r w:rsidR="00555F15" w:rsidRPr="00AF274C">
        <w:rPr>
          <w:b/>
          <w:sz w:val="20"/>
          <w:szCs w:val="20"/>
          <w:lang w:val="es-ES"/>
        </w:rPr>
        <w:t xml:space="preserve">S </w:t>
      </w:r>
      <w:r>
        <w:rPr>
          <w:b/>
          <w:sz w:val="20"/>
          <w:szCs w:val="20"/>
          <w:lang w:val="es-ES"/>
        </w:rPr>
        <w:t xml:space="preserve">MEDICAMENTOS: EVITEN </w:t>
      </w:r>
      <w:r w:rsidR="00555F15" w:rsidRPr="00AF274C">
        <w:rPr>
          <w:b/>
          <w:sz w:val="20"/>
          <w:szCs w:val="20"/>
          <w:lang w:val="es-ES"/>
        </w:rPr>
        <w:t>L</w:t>
      </w:r>
      <w:r>
        <w:rPr>
          <w:b/>
          <w:sz w:val="20"/>
          <w:szCs w:val="20"/>
          <w:lang w:val="es-ES"/>
        </w:rPr>
        <w:t>OS CAUSA</w:t>
      </w:r>
      <w:r w:rsidR="00555F15" w:rsidRPr="00AF274C">
        <w:rPr>
          <w:b/>
          <w:sz w:val="20"/>
          <w:szCs w:val="20"/>
          <w:lang w:val="es-ES"/>
        </w:rPr>
        <w:t>N</w:t>
      </w:r>
      <w:r>
        <w:rPr>
          <w:b/>
          <w:sz w:val="20"/>
          <w:szCs w:val="20"/>
          <w:lang w:val="es-ES"/>
        </w:rPr>
        <w:t>TES</w:t>
      </w:r>
      <w:r w:rsidR="00555F15" w:rsidRPr="00AF274C">
        <w:rPr>
          <w:b/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lang w:val="es-ES"/>
        </w:rPr>
        <w:t>DE NEUMONÍA QUE SON</w:t>
      </w:r>
      <w:r w:rsidR="00555F15" w:rsidRPr="00AF274C">
        <w:rPr>
          <w:b/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lang w:val="es-ES"/>
        </w:rPr>
        <w:t>INNECESARIO</w:t>
      </w:r>
      <w:r w:rsidR="00555F15" w:rsidRPr="00AF274C">
        <w:rPr>
          <w:b/>
          <w:sz w:val="20"/>
          <w:szCs w:val="20"/>
          <w:lang w:val="es-ES"/>
        </w:rPr>
        <w:t>S</w:t>
      </w:r>
    </w:p>
    <w:p w:rsidR="00555F15" w:rsidRPr="00AF274C" w:rsidRDefault="00555F15" w:rsidP="00A9098D">
      <w:pPr>
        <w:rPr>
          <w:sz w:val="20"/>
          <w:szCs w:val="20"/>
          <w:lang w:val="es-ES"/>
        </w:rPr>
      </w:pPr>
    </w:p>
    <w:p w:rsidR="00C55D0E" w:rsidRPr="00AF274C" w:rsidRDefault="00715542" w:rsidP="00A9098D">
      <w:pPr>
        <w:rPr>
          <w:sz w:val="20"/>
          <w:szCs w:val="20"/>
          <w:lang w:val="es-ES"/>
        </w:rPr>
      </w:pPr>
      <w:r w:rsidRPr="00AF274C">
        <w:rPr>
          <w:sz w:val="20"/>
          <w:szCs w:val="20"/>
          <w:lang w:val="es-ES"/>
        </w:rPr>
        <w:t>En la situació</w:t>
      </w:r>
      <w:r w:rsidR="00AF274C">
        <w:rPr>
          <w:sz w:val="20"/>
          <w:szCs w:val="20"/>
          <w:lang w:val="es-ES"/>
        </w:rPr>
        <w:t>n actual de pandemia grave po</w:t>
      </w:r>
      <w:r w:rsidRPr="00AF274C">
        <w:rPr>
          <w:sz w:val="20"/>
          <w:szCs w:val="20"/>
          <w:lang w:val="es-ES"/>
        </w:rPr>
        <w:t>r SARS-CoV-2</w:t>
      </w:r>
      <w:r w:rsidR="00AF274C">
        <w:rPr>
          <w:sz w:val="20"/>
          <w:szCs w:val="20"/>
          <w:lang w:val="es-ES"/>
        </w:rPr>
        <w:t>, es n</w:t>
      </w:r>
      <w:r w:rsidR="00D63E78">
        <w:rPr>
          <w:sz w:val="20"/>
          <w:szCs w:val="20"/>
          <w:lang w:val="es-ES"/>
        </w:rPr>
        <w:t>ec</w:t>
      </w:r>
      <w:r w:rsidR="00AF274C">
        <w:rPr>
          <w:sz w:val="20"/>
          <w:szCs w:val="20"/>
          <w:lang w:val="es-ES"/>
        </w:rPr>
        <w:t>esario evitar al má</w:t>
      </w:r>
      <w:r w:rsidRPr="00AF274C">
        <w:rPr>
          <w:sz w:val="20"/>
          <w:szCs w:val="20"/>
          <w:lang w:val="es-ES"/>
        </w:rPr>
        <w:t>xim</w:t>
      </w:r>
      <w:r w:rsidR="00AF274C">
        <w:rPr>
          <w:sz w:val="20"/>
          <w:szCs w:val="20"/>
          <w:lang w:val="es-ES"/>
        </w:rPr>
        <w:t>o lo</w:t>
      </w:r>
      <w:r w:rsidRPr="00AF274C">
        <w:rPr>
          <w:sz w:val="20"/>
          <w:szCs w:val="20"/>
          <w:lang w:val="es-ES"/>
        </w:rPr>
        <w:t>s factor</w:t>
      </w:r>
      <w:r w:rsidR="00AF274C">
        <w:rPr>
          <w:sz w:val="20"/>
          <w:szCs w:val="20"/>
          <w:lang w:val="es-ES"/>
        </w:rPr>
        <w:t>e</w:t>
      </w:r>
      <w:r w:rsidRPr="00AF274C">
        <w:rPr>
          <w:sz w:val="20"/>
          <w:szCs w:val="20"/>
          <w:lang w:val="es-ES"/>
        </w:rPr>
        <w:t>s de ri</w:t>
      </w:r>
      <w:r w:rsidR="00AF274C">
        <w:rPr>
          <w:sz w:val="20"/>
          <w:szCs w:val="20"/>
          <w:lang w:val="es-ES"/>
        </w:rPr>
        <w:t>esgo</w:t>
      </w:r>
      <w:r w:rsidRPr="00AF274C">
        <w:rPr>
          <w:sz w:val="20"/>
          <w:szCs w:val="20"/>
          <w:lang w:val="es-ES"/>
        </w:rPr>
        <w:t xml:space="preserve"> de </w:t>
      </w:r>
      <w:r w:rsidR="00AF274C">
        <w:rPr>
          <w:sz w:val="20"/>
          <w:szCs w:val="20"/>
          <w:lang w:val="es-ES"/>
        </w:rPr>
        <w:t>neumonía</w:t>
      </w:r>
      <w:r w:rsidRPr="00AF274C">
        <w:rPr>
          <w:sz w:val="20"/>
          <w:szCs w:val="20"/>
          <w:lang w:val="es-ES"/>
        </w:rPr>
        <w:t xml:space="preserve">. </w:t>
      </w:r>
      <w:r w:rsidR="003B6A1E" w:rsidRPr="00AF274C">
        <w:rPr>
          <w:sz w:val="20"/>
          <w:szCs w:val="20"/>
          <w:lang w:val="es-ES"/>
        </w:rPr>
        <w:t xml:space="preserve">El </w:t>
      </w:r>
      <w:r w:rsidR="00D63E78">
        <w:rPr>
          <w:sz w:val="20"/>
          <w:szCs w:val="20"/>
          <w:lang w:val="es-ES"/>
        </w:rPr>
        <w:t>consum</w:t>
      </w:r>
      <w:r w:rsidR="00AF274C">
        <w:rPr>
          <w:sz w:val="20"/>
          <w:szCs w:val="20"/>
          <w:lang w:val="es-ES"/>
        </w:rPr>
        <w:t>o</w:t>
      </w:r>
      <w:r w:rsidR="003B6A1E" w:rsidRPr="00AF274C">
        <w:rPr>
          <w:sz w:val="20"/>
          <w:szCs w:val="20"/>
          <w:lang w:val="es-ES"/>
        </w:rPr>
        <w:t xml:space="preserve"> de </w:t>
      </w:r>
      <w:r w:rsidR="00AF274C">
        <w:rPr>
          <w:sz w:val="20"/>
          <w:szCs w:val="20"/>
          <w:lang w:val="es-ES"/>
        </w:rPr>
        <w:t>varios</w:t>
      </w:r>
      <w:r w:rsidR="00D63E78">
        <w:rPr>
          <w:sz w:val="20"/>
          <w:szCs w:val="20"/>
          <w:lang w:val="es-ES"/>
        </w:rPr>
        <w:t xml:space="preserve"> tipo</w:t>
      </w:r>
      <w:r w:rsidR="003B6A1E" w:rsidRPr="00AF274C">
        <w:rPr>
          <w:sz w:val="20"/>
          <w:szCs w:val="20"/>
          <w:lang w:val="es-ES"/>
        </w:rPr>
        <w:t xml:space="preserve">s de </w:t>
      </w:r>
      <w:r w:rsidR="00D63E78">
        <w:rPr>
          <w:sz w:val="20"/>
          <w:szCs w:val="20"/>
          <w:lang w:val="es-ES"/>
        </w:rPr>
        <w:t>f</w:t>
      </w:r>
      <w:r w:rsidR="00B9771E">
        <w:rPr>
          <w:sz w:val="20"/>
          <w:szCs w:val="20"/>
          <w:lang w:val="es-ES"/>
        </w:rPr>
        <w:t>ármacos</w:t>
      </w:r>
      <w:r w:rsidR="003B6A1E" w:rsidRPr="00AF274C">
        <w:rPr>
          <w:sz w:val="20"/>
          <w:szCs w:val="20"/>
          <w:lang w:val="es-ES"/>
        </w:rPr>
        <w:t xml:space="preserve"> incrementa el </w:t>
      </w:r>
      <w:r w:rsidR="00AF274C">
        <w:rPr>
          <w:sz w:val="20"/>
          <w:szCs w:val="20"/>
          <w:lang w:val="es-ES"/>
        </w:rPr>
        <w:t>riesgo</w:t>
      </w:r>
      <w:r w:rsidR="003B6A1E" w:rsidRPr="00AF274C">
        <w:rPr>
          <w:sz w:val="20"/>
          <w:szCs w:val="20"/>
          <w:lang w:val="es-ES"/>
        </w:rPr>
        <w:t xml:space="preserve"> de </w:t>
      </w:r>
      <w:r w:rsidR="00AF274C">
        <w:rPr>
          <w:sz w:val="20"/>
          <w:szCs w:val="20"/>
          <w:lang w:val="es-ES"/>
        </w:rPr>
        <w:t>neumonía</w:t>
      </w:r>
      <w:r w:rsidR="00D63E78">
        <w:rPr>
          <w:sz w:val="20"/>
          <w:szCs w:val="20"/>
          <w:lang w:val="es-ES"/>
        </w:rPr>
        <w:t xml:space="preserve"> y su mortalidad</w:t>
      </w:r>
      <w:r w:rsidR="003B6A1E" w:rsidRPr="00AF274C">
        <w:rPr>
          <w:sz w:val="20"/>
          <w:szCs w:val="20"/>
          <w:lang w:val="es-ES"/>
        </w:rPr>
        <w:t>.</w:t>
      </w:r>
    </w:p>
    <w:p w:rsidR="00715542" w:rsidRPr="00AF274C" w:rsidRDefault="00715542" w:rsidP="00A9098D">
      <w:pPr>
        <w:rPr>
          <w:sz w:val="20"/>
          <w:szCs w:val="20"/>
          <w:lang w:val="es-ES"/>
        </w:rPr>
      </w:pPr>
    </w:p>
    <w:p w:rsidR="00B73742" w:rsidRDefault="006A6044" w:rsidP="008D7E69">
      <w:pPr>
        <w:autoSpaceDE w:val="0"/>
        <w:autoSpaceDN w:val="0"/>
        <w:adjustRightInd w:val="0"/>
        <w:rPr>
          <w:b/>
          <w:sz w:val="20"/>
          <w:szCs w:val="20"/>
          <w:lang w:val="es-ES"/>
        </w:rPr>
      </w:pPr>
      <w:r>
        <w:rPr>
          <w:rFonts w:cs="Tahoma"/>
          <w:sz w:val="20"/>
          <w:szCs w:val="20"/>
          <w:lang w:val="es-ES" w:eastAsia="ca-ES"/>
        </w:rPr>
        <w:t>Varios grupos de</w:t>
      </w:r>
      <w:r w:rsidR="008D7E69" w:rsidRPr="00AF274C">
        <w:rPr>
          <w:rFonts w:cs="Tahoma"/>
          <w:sz w:val="20"/>
          <w:szCs w:val="20"/>
          <w:lang w:val="es-ES" w:eastAsia="ca-ES"/>
        </w:rPr>
        <w:t xml:space="preserve"> </w:t>
      </w:r>
      <w:r w:rsidR="00AF274C">
        <w:rPr>
          <w:rFonts w:cs="Tahoma"/>
          <w:sz w:val="20"/>
          <w:szCs w:val="20"/>
          <w:lang w:val="es-ES" w:eastAsia="ca-ES"/>
        </w:rPr>
        <w:t>medicamentos</w:t>
      </w:r>
      <w:r>
        <w:rPr>
          <w:rFonts w:cs="Tahoma"/>
          <w:sz w:val="20"/>
          <w:szCs w:val="20"/>
          <w:lang w:val="es-ES" w:eastAsia="ca-ES"/>
        </w:rPr>
        <w:t xml:space="preserve"> pue</w:t>
      </w:r>
      <w:r w:rsidR="008D7E69" w:rsidRPr="00AF274C">
        <w:rPr>
          <w:rFonts w:cs="Tahoma"/>
          <w:sz w:val="20"/>
          <w:szCs w:val="20"/>
          <w:lang w:val="es-ES" w:eastAsia="ca-ES"/>
        </w:rPr>
        <w:t xml:space="preserve">den incrementar el </w:t>
      </w:r>
      <w:r w:rsidR="00AF274C">
        <w:rPr>
          <w:rFonts w:cs="Tahoma"/>
          <w:sz w:val="20"/>
          <w:szCs w:val="20"/>
          <w:lang w:val="es-ES" w:eastAsia="ca-ES"/>
        </w:rPr>
        <w:t>riesgo</w:t>
      </w:r>
      <w:r w:rsidR="008D7E69" w:rsidRPr="00AF274C">
        <w:rPr>
          <w:rFonts w:cs="Tahoma"/>
          <w:sz w:val="20"/>
          <w:szCs w:val="20"/>
          <w:lang w:val="es-ES" w:eastAsia="ca-ES"/>
        </w:rPr>
        <w:t xml:space="preserve"> de </w:t>
      </w:r>
      <w:r w:rsidR="00AF274C">
        <w:rPr>
          <w:rFonts w:cs="Tahoma"/>
          <w:sz w:val="20"/>
          <w:szCs w:val="20"/>
          <w:lang w:val="es-ES" w:eastAsia="ca-ES"/>
        </w:rPr>
        <w:t>neumonía</w:t>
      </w:r>
      <w:r w:rsidR="008D7E69" w:rsidRPr="00AF274C">
        <w:rPr>
          <w:rFonts w:cs="Tahoma"/>
          <w:sz w:val="20"/>
          <w:szCs w:val="20"/>
          <w:lang w:val="es-ES" w:eastAsia="ca-ES"/>
        </w:rPr>
        <w:t xml:space="preserve"> per </w:t>
      </w:r>
      <w:r w:rsidR="00AF274C">
        <w:rPr>
          <w:rFonts w:cs="Tahoma"/>
          <w:b/>
          <w:sz w:val="20"/>
          <w:szCs w:val="20"/>
          <w:lang w:val="es-ES" w:eastAsia="ca-ES"/>
        </w:rPr>
        <w:t>varios</w:t>
      </w:r>
      <w:r w:rsidR="008D7E69" w:rsidRPr="00AF274C">
        <w:rPr>
          <w:rFonts w:cs="Tahoma"/>
          <w:b/>
          <w:sz w:val="20"/>
          <w:szCs w:val="20"/>
          <w:lang w:val="es-ES" w:eastAsia="ca-ES"/>
        </w:rPr>
        <w:t xml:space="preserve"> </w:t>
      </w:r>
      <w:r w:rsidR="00AF274C">
        <w:rPr>
          <w:rFonts w:cs="Tahoma"/>
          <w:b/>
          <w:sz w:val="20"/>
          <w:szCs w:val="20"/>
          <w:lang w:val="es-ES" w:eastAsia="ca-ES"/>
        </w:rPr>
        <w:t>mecanismo</w:t>
      </w:r>
      <w:r w:rsidR="008D7E69" w:rsidRPr="00AF274C">
        <w:rPr>
          <w:rFonts w:cs="Tahoma"/>
          <w:b/>
          <w:sz w:val="20"/>
          <w:szCs w:val="20"/>
          <w:lang w:val="es-ES" w:eastAsia="ca-ES"/>
        </w:rPr>
        <w:t>s</w:t>
      </w:r>
      <w:r>
        <w:rPr>
          <w:rFonts w:cs="Tahoma"/>
          <w:sz w:val="20"/>
          <w:szCs w:val="20"/>
          <w:lang w:val="es-ES" w:eastAsia="ca-ES"/>
        </w:rPr>
        <w:t>: pue</w:t>
      </w:r>
      <w:r w:rsidR="00D63E78">
        <w:rPr>
          <w:rFonts w:cs="Tahoma"/>
          <w:sz w:val="20"/>
          <w:szCs w:val="20"/>
          <w:lang w:val="es-ES" w:eastAsia="ca-ES"/>
        </w:rPr>
        <w:t>den deprimir la inmunidad y</w:t>
      </w:r>
      <w:r w:rsidR="00C158C0" w:rsidRPr="00AF274C">
        <w:rPr>
          <w:rFonts w:cs="Tahoma"/>
          <w:sz w:val="20"/>
          <w:szCs w:val="20"/>
          <w:lang w:val="es-ES" w:eastAsia="ca-ES"/>
        </w:rPr>
        <w:t xml:space="preserve"> </w:t>
      </w:r>
      <w:r w:rsidR="00581206">
        <w:rPr>
          <w:rFonts w:cs="Tahoma"/>
          <w:sz w:val="20"/>
          <w:szCs w:val="20"/>
          <w:lang w:val="es-ES" w:eastAsia="ca-ES"/>
        </w:rPr>
        <w:t>otros</w:t>
      </w:r>
      <w:r w:rsidR="00C158C0" w:rsidRPr="00AF274C">
        <w:rPr>
          <w:rFonts w:cs="Tahoma"/>
          <w:sz w:val="20"/>
          <w:szCs w:val="20"/>
          <w:lang w:val="es-ES" w:eastAsia="ca-ES"/>
        </w:rPr>
        <w:t xml:space="preserve"> </w:t>
      </w:r>
      <w:r w:rsidR="00AF274C">
        <w:rPr>
          <w:rFonts w:cs="Tahoma"/>
          <w:sz w:val="20"/>
          <w:szCs w:val="20"/>
          <w:lang w:val="es-ES" w:eastAsia="ca-ES"/>
        </w:rPr>
        <w:t>mecanismo</w:t>
      </w:r>
      <w:r w:rsidR="00C158C0" w:rsidRPr="00AF274C">
        <w:rPr>
          <w:rFonts w:cs="Tahoma"/>
          <w:sz w:val="20"/>
          <w:szCs w:val="20"/>
          <w:lang w:val="es-ES" w:eastAsia="ca-ES"/>
        </w:rPr>
        <w:t>s de protecció</w:t>
      </w:r>
      <w:r w:rsidR="00D63E78">
        <w:rPr>
          <w:rFonts w:cs="Tahoma"/>
          <w:sz w:val="20"/>
          <w:szCs w:val="20"/>
          <w:lang w:val="es-ES" w:eastAsia="ca-ES"/>
        </w:rPr>
        <w:t>n</w:t>
      </w:r>
      <w:r w:rsidR="00C158C0" w:rsidRPr="00AF274C">
        <w:rPr>
          <w:rFonts w:cs="Tahoma"/>
          <w:sz w:val="20"/>
          <w:szCs w:val="20"/>
          <w:lang w:val="es-ES" w:eastAsia="ca-ES"/>
        </w:rPr>
        <w:t xml:space="preserve"> antibacteriana</w:t>
      </w:r>
      <w:r w:rsidR="00D63E78">
        <w:rPr>
          <w:rFonts w:cs="Tahoma"/>
          <w:sz w:val="20"/>
          <w:szCs w:val="20"/>
          <w:lang w:val="es-ES" w:eastAsia="ca-ES"/>
        </w:rPr>
        <w:t>, pue</w:t>
      </w:r>
      <w:r w:rsidR="008D7E69" w:rsidRPr="00AF274C">
        <w:rPr>
          <w:rFonts w:cs="Tahoma"/>
          <w:sz w:val="20"/>
          <w:szCs w:val="20"/>
          <w:lang w:val="es-ES" w:eastAsia="ca-ES"/>
        </w:rPr>
        <w:t>den dep</w:t>
      </w:r>
      <w:r w:rsidR="00D63E78">
        <w:rPr>
          <w:rFonts w:cs="Tahoma"/>
          <w:sz w:val="20"/>
          <w:szCs w:val="20"/>
          <w:lang w:val="es-ES" w:eastAsia="ca-ES"/>
        </w:rPr>
        <w:t>rimir la ventilación pulmonar y favorecer</w:t>
      </w:r>
      <w:r w:rsidR="008D7E69" w:rsidRPr="00AF274C">
        <w:rPr>
          <w:rFonts w:cs="Tahoma"/>
          <w:sz w:val="20"/>
          <w:szCs w:val="20"/>
          <w:lang w:val="es-ES" w:eastAsia="ca-ES"/>
        </w:rPr>
        <w:t xml:space="preserve"> la formació</w:t>
      </w:r>
      <w:r w:rsidR="00D63E78">
        <w:rPr>
          <w:rFonts w:cs="Tahoma"/>
          <w:sz w:val="20"/>
          <w:szCs w:val="20"/>
          <w:lang w:val="es-ES" w:eastAsia="ca-ES"/>
        </w:rPr>
        <w:t>n de atele</w:t>
      </w:r>
      <w:r w:rsidR="008D7E69" w:rsidRPr="00AF274C">
        <w:rPr>
          <w:rFonts w:cs="Tahoma"/>
          <w:sz w:val="20"/>
          <w:szCs w:val="20"/>
          <w:lang w:val="es-ES" w:eastAsia="ca-ES"/>
        </w:rPr>
        <w:t>ctasi</w:t>
      </w:r>
      <w:r w:rsidR="00D63E78">
        <w:rPr>
          <w:rFonts w:cs="Tahoma"/>
          <w:sz w:val="20"/>
          <w:szCs w:val="20"/>
          <w:lang w:val="es-ES" w:eastAsia="ca-ES"/>
        </w:rPr>
        <w:t>a</w:t>
      </w:r>
      <w:r w:rsidR="008D7E69" w:rsidRPr="00AF274C">
        <w:rPr>
          <w:rFonts w:cs="Tahoma"/>
          <w:sz w:val="20"/>
          <w:szCs w:val="20"/>
          <w:lang w:val="es-ES" w:eastAsia="ca-ES"/>
        </w:rPr>
        <w:t>s en el marc</w:t>
      </w:r>
      <w:r w:rsidR="00D63E78">
        <w:rPr>
          <w:rFonts w:cs="Tahoma"/>
          <w:sz w:val="20"/>
          <w:szCs w:val="20"/>
          <w:lang w:val="es-ES" w:eastAsia="ca-ES"/>
        </w:rPr>
        <w:t xml:space="preserve">o de </w:t>
      </w:r>
      <w:r w:rsidR="008D7E69" w:rsidRPr="00AF274C">
        <w:rPr>
          <w:rFonts w:cs="Tahoma"/>
          <w:sz w:val="20"/>
          <w:szCs w:val="20"/>
          <w:lang w:val="es-ES" w:eastAsia="ca-ES"/>
        </w:rPr>
        <w:t>una infecció</w:t>
      </w:r>
      <w:r w:rsidR="00D63E78">
        <w:rPr>
          <w:rFonts w:cs="Tahoma"/>
          <w:sz w:val="20"/>
          <w:szCs w:val="20"/>
          <w:lang w:val="es-ES" w:eastAsia="ca-ES"/>
        </w:rPr>
        <w:t>n respirato</w:t>
      </w:r>
      <w:r w:rsidR="008D7E69" w:rsidRPr="00AF274C">
        <w:rPr>
          <w:rFonts w:cs="Tahoma"/>
          <w:sz w:val="20"/>
          <w:szCs w:val="20"/>
          <w:lang w:val="es-ES" w:eastAsia="ca-ES"/>
        </w:rPr>
        <w:t>ria vi</w:t>
      </w:r>
      <w:r w:rsidR="00555F15" w:rsidRPr="00AF274C">
        <w:rPr>
          <w:rFonts w:cs="Tahoma"/>
          <w:sz w:val="20"/>
          <w:szCs w:val="20"/>
          <w:lang w:val="es-ES" w:eastAsia="ca-ES"/>
        </w:rPr>
        <w:t>ral,</w:t>
      </w:r>
      <w:r w:rsidR="00C158C0" w:rsidRPr="00AF274C">
        <w:rPr>
          <w:rFonts w:cs="Tahoma"/>
          <w:sz w:val="20"/>
          <w:szCs w:val="20"/>
          <w:lang w:val="es-ES" w:eastAsia="ca-ES"/>
        </w:rPr>
        <w:t xml:space="preserve"> </w:t>
      </w:r>
      <w:r w:rsidR="00D63E78">
        <w:rPr>
          <w:rFonts w:cs="Tahoma"/>
          <w:sz w:val="20"/>
          <w:szCs w:val="20"/>
          <w:lang w:val="es-ES" w:eastAsia="ca-ES"/>
        </w:rPr>
        <w:t xml:space="preserve">pueden favorecer la aspiración de </w:t>
      </w:r>
      <w:r w:rsidR="008D7E69" w:rsidRPr="00AF274C">
        <w:rPr>
          <w:rFonts w:cs="Tahoma"/>
          <w:sz w:val="20"/>
          <w:szCs w:val="20"/>
          <w:lang w:val="es-ES" w:eastAsia="ca-ES"/>
        </w:rPr>
        <w:t>aliment</w:t>
      </w:r>
      <w:r w:rsidR="00D63E78">
        <w:rPr>
          <w:rFonts w:cs="Tahoma"/>
          <w:sz w:val="20"/>
          <w:szCs w:val="20"/>
          <w:lang w:val="es-ES" w:eastAsia="ca-ES"/>
        </w:rPr>
        <w:t>o</w:t>
      </w:r>
      <w:r w:rsidR="008D7E69" w:rsidRPr="00AF274C">
        <w:rPr>
          <w:rFonts w:cs="Tahoma"/>
          <w:sz w:val="20"/>
          <w:szCs w:val="20"/>
          <w:lang w:val="es-ES" w:eastAsia="ca-ES"/>
        </w:rPr>
        <w:t xml:space="preserve">s </w:t>
      </w:r>
      <w:r w:rsidR="004F056C">
        <w:rPr>
          <w:rFonts w:cs="Tahoma"/>
          <w:sz w:val="20"/>
          <w:szCs w:val="20"/>
          <w:lang w:val="es-ES" w:eastAsia="ca-ES"/>
        </w:rPr>
        <w:t>porque</w:t>
      </w:r>
      <w:r w:rsidR="00D63E78">
        <w:rPr>
          <w:rFonts w:cs="Tahoma"/>
          <w:sz w:val="20"/>
          <w:szCs w:val="20"/>
          <w:lang w:val="es-ES" w:eastAsia="ca-ES"/>
        </w:rPr>
        <w:t xml:space="preserve"> afecta</w:t>
      </w:r>
      <w:r w:rsidR="008D7E69" w:rsidRPr="00AF274C">
        <w:rPr>
          <w:rFonts w:cs="Tahoma"/>
          <w:sz w:val="20"/>
          <w:szCs w:val="20"/>
          <w:lang w:val="es-ES" w:eastAsia="ca-ES"/>
        </w:rPr>
        <w:t>n la musculatura de la deglució</w:t>
      </w:r>
      <w:r w:rsidR="00D63E78">
        <w:rPr>
          <w:rFonts w:cs="Tahoma"/>
          <w:sz w:val="20"/>
          <w:szCs w:val="20"/>
          <w:lang w:val="es-ES" w:eastAsia="ca-ES"/>
        </w:rPr>
        <w:t>n</w:t>
      </w:r>
      <w:r w:rsidR="008D7E69" w:rsidRPr="00AF274C">
        <w:rPr>
          <w:rFonts w:cs="Tahoma"/>
          <w:sz w:val="20"/>
          <w:szCs w:val="20"/>
          <w:lang w:val="es-ES" w:eastAsia="ca-ES"/>
        </w:rPr>
        <w:t xml:space="preserve">. </w:t>
      </w:r>
      <w:r w:rsidR="00D63E78" w:rsidRPr="00B73742">
        <w:rPr>
          <w:b/>
          <w:sz w:val="20"/>
          <w:szCs w:val="20"/>
          <w:lang w:val="es-ES"/>
        </w:rPr>
        <w:t>Mucho</w:t>
      </w:r>
      <w:r w:rsidR="00555F15" w:rsidRPr="00B73742">
        <w:rPr>
          <w:b/>
          <w:sz w:val="20"/>
          <w:szCs w:val="20"/>
          <w:lang w:val="es-ES"/>
        </w:rPr>
        <w:t>s pacient</w:t>
      </w:r>
      <w:r w:rsidR="00D63E78" w:rsidRPr="00B73742">
        <w:rPr>
          <w:b/>
          <w:sz w:val="20"/>
          <w:szCs w:val="20"/>
          <w:lang w:val="es-ES"/>
        </w:rPr>
        <w:t>es consum</w:t>
      </w:r>
      <w:r w:rsidR="00555F15" w:rsidRPr="00B73742">
        <w:rPr>
          <w:b/>
          <w:sz w:val="20"/>
          <w:szCs w:val="20"/>
          <w:lang w:val="es-ES"/>
        </w:rPr>
        <w:t xml:space="preserve">en </w:t>
      </w:r>
      <w:r w:rsidRPr="00B73742">
        <w:rPr>
          <w:b/>
          <w:sz w:val="20"/>
          <w:szCs w:val="20"/>
          <w:lang w:val="es-ES"/>
        </w:rPr>
        <w:t xml:space="preserve">alguno de estos </w:t>
      </w:r>
      <w:r w:rsidR="00D63E78" w:rsidRPr="00B73742">
        <w:rPr>
          <w:b/>
          <w:sz w:val="20"/>
          <w:szCs w:val="20"/>
          <w:lang w:val="es-ES"/>
        </w:rPr>
        <w:t>f</w:t>
      </w:r>
      <w:r w:rsidR="00B9771E" w:rsidRPr="00B73742">
        <w:rPr>
          <w:b/>
          <w:sz w:val="20"/>
          <w:szCs w:val="20"/>
          <w:lang w:val="es-ES"/>
        </w:rPr>
        <w:t>ármacos</w:t>
      </w:r>
      <w:r w:rsidR="00555F15" w:rsidRPr="00B73742">
        <w:rPr>
          <w:b/>
          <w:sz w:val="20"/>
          <w:szCs w:val="20"/>
          <w:lang w:val="es-ES"/>
        </w:rPr>
        <w:t xml:space="preserve"> </w:t>
      </w:r>
      <w:r w:rsidRPr="00B73742">
        <w:rPr>
          <w:b/>
          <w:sz w:val="20"/>
          <w:szCs w:val="20"/>
          <w:lang w:val="es-ES"/>
        </w:rPr>
        <w:t>de manera innecesaria</w:t>
      </w:r>
      <w:r w:rsidR="00555F15" w:rsidRPr="00B73742">
        <w:rPr>
          <w:b/>
          <w:sz w:val="20"/>
          <w:szCs w:val="20"/>
          <w:lang w:val="es-ES"/>
        </w:rPr>
        <w:t>; s</w:t>
      </w:r>
      <w:r w:rsidR="008D7E69" w:rsidRPr="00B73742">
        <w:rPr>
          <w:b/>
          <w:sz w:val="20"/>
          <w:szCs w:val="20"/>
          <w:lang w:val="es-ES"/>
        </w:rPr>
        <w:t xml:space="preserve">i </w:t>
      </w:r>
      <w:r w:rsidR="00B73742" w:rsidRPr="00B73742">
        <w:rPr>
          <w:b/>
          <w:sz w:val="20"/>
          <w:szCs w:val="20"/>
          <w:lang w:val="es-ES"/>
        </w:rPr>
        <w:t>los que no los necesitan dejaran de tomarlos</w:t>
      </w:r>
      <w:r w:rsidR="00B73742">
        <w:rPr>
          <w:b/>
          <w:sz w:val="20"/>
          <w:szCs w:val="20"/>
          <w:lang w:val="es-ES"/>
        </w:rPr>
        <w:t>,</w:t>
      </w:r>
      <w:r w:rsidR="00B73742" w:rsidRPr="00B73742">
        <w:rPr>
          <w:b/>
          <w:sz w:val="20"/>
          <w:szCs w:val="20"/>
          <w:lang w:val="es-ES"/>
        </w:rPr>
        <w:t xml:space="preserve"> </w:t>
      </w:r>
      <w:r w:rsidR="00D63E78" w:rsidRPr="00B73742">
        <w:rPr>
          <w:b/>
          <w:sz w:val="20"/>
          <w:szCs w:val="20"/>
          <w:lang w:val="es-ES"/>
        </w:rPr>
        <w:t>se podrían evitar miles de casos graves y</w:t>
      </w:r>
      <w:r w:rsidRPr="00B73742">
        <w:rPr>
          <w:b/>
          <w:sz w:val="20"/>
          <w:szCs w:val="20"/>
          <w:lang w:val="es-ES"/>
        </w:rPr>
        <w:t xml:space="preserve"> d</w:t>
      </w:r>
      <w:r w:rsidR="00D63E78" w:rsidRPr="00B73742">
        <w:rPr>
          <w:b/>
          <w:sz w:val="20"/>
          <w:szCs w:val="20"/>
          <w:lang w:val="es-ES"/>
        </w:rPr>
        <w:t>e muertes.</w:t>
      </w:r>
      <w:r w:rsidR="00B73742">
        <w:rPr>
          <w:b/>
          <w:sz w:val="20"/>
          <w:szCs w:val="20"/>
          <w:lang w:val="es-ES"/>
        </w:rPr>
        <w:t xml:space="preserve"> </w:t>
      </w:r>
    </w:p>
    <w:p w:rsidR="00B73742" w:rsidRDefault="00B73742" w:rsidP="008D7E69">
      <w:pPr>
        <w:autoSpaceDE w:val="0"/>
        <w:autoSpaceDN w:val="0"/>
        <w:adjustRightInd w:val="0"/>
        <w:rPr>
          <w:b/>
          <w:sz w:val="20"/>
          <w:szCs w:val="20"/>
          <w:lang w:val="es-ES"/>
        </w:rPr>
      </w:pPr>
    </w:p>
    <w:p w:rsidR="00A9098D" w:rsidRPr="00B73742" w:rsidRDefault="00B73742" w:rsidP="00B73742">
      <w:pPr>
        <w:autoSpaceDE w:val="0"/>
        <w:autoSpaceDN w:val="0"/>
        <w:adjustRightInd w:val="0"/>
        <w:ind w:left="426"/>
        <w:rPr>
          <w:b/>
          <w:sz w:val="18"/>
          <w:szCs w:val="18"/>
          <w:lang w:val="es-ES"/>
        </w:rPr>
      </w:pPr>
      <w:r w:rsidRPr="00B73742">
        <w:rPr>
          <w:b/>
          <w:sz w:val="18"/>
          <w:szCs w:val="18"/>
          <w:lang w:val="es-ES"/>
        </w:rPr>
        <w:t>Dada la urgencia de la situación, en este informe se hacen estimaciones sólo para algunos de estos fármacos, y se muestra que el número de casos y de muertes evitables se cuenta por miles o decenas de miles.</w:t>
      </w:r>
    </w:p>
    <w:p w:rsidR="00A9098D" w:rsidRDefault="00A9098D" w:rsidP="00A9098D">
      <w:pPr>
        <w:rPr>
          <w:sz w:val="20"/>
          <w:szCs w:val="20"/>
          <w:lang w:val="es-ES"/>
        </w:rPr>
      </w:pPr>
    </w:p>
    <w:p w:rsidR="00B73742" w:rsidRPr="00AF274C" w:rsidRDefault="00B73742" w:rsidP="00A9098D">
      <w:pPr>
        <w:rPr>
          <w:sz w:val="20"/>
          <w:szCs w:val="20"/>
          <w:lang w:val="es-ES"/>
        </w:rPr>
      </w:pPr>
    </w:p>
    <w:p w:rsidR="006725A2" w:rsidRPr="00AF274C" w:rsidRDefault="00B9771E" w:rsidP="00FC7865">
      <w:pPr>
        <w:rPr>
          <w:b/>
          <w:lang w:val="es-ES"/>
        </w:rPr>
      </w:pPr>
      <w:r>
        <w:rPr>
          <w:b/>
          <w:lang w:val="es-ES"/>
        </w:rPr>
        <w:t>Fármacos</w:t>
      </w:r>
      <w:r w:rsidR="006725A2" w:rsidRPr="00AF274C">
        <w:rPr>
          <w:b/>
          <w:lang w:val="es-ES"/>
        </w:rPr>
        <w:t xml:space="preserve"> que a</w:t>
      </w:r>
      <w:r w:rsidR="00AF274C">
        <w:rPr>
          <w:b/>
          <w:lang w:val="es-ES"/>
        </w:rPr>
        <w:t>umentan el riesgo de sufr</w:t>
      </w:r>
      <w:r w:rsidR="009554AA" w:rsidRPr="00AF274C">
        <w:rPr>
          <w:b/>
          <w:lang w:val="es-ES"/>
        </w:rPr>
        <w:t xml:space="preserve">ir </w:t>
      </w:r>
      <w:r w:rsidR="00AF274C">
        <w:rPr>
          <w:b/>
          <w:lang w:val="es-ES"/>
        </w:rPr>
        <w:t>neumonía</w:t>
      </w:r>
    </w:p>
    <w:p w:rsidR="00A06D18" w:rsidRPr="00AF274C" w:rsidRDefault="00A06D18" w:rsidP="00A06D18">
      <w:pPr>
        <w:rPr>
          <w:sz w:val="20"/>
          <w:szCs w:val="20"/>
          <w:lang w:val="es-ES"/>
        </w:rPr>
      </w:pPr>
    </w:p>
    <w:p w:rsidR="00555F15" w:rsidRPr="00AF274C" w:rsidRDefault="00AF274C" w:rsidP="00C4716E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Antipsicóticos</w:t>
      </w:r>
      <w:r w:rsidR="002F0519">
        <w:rPr>
          <w:b/>
          <w:sz w:val="20"/>
          <w:szCs w:val="20"/>
          <w:lang w:val="es-ES"/>
        </w:rPr>
        <w:t xml:space="preserve"> (neurolé</w:t>
      </w:r>
      <w:r w:rsidR="0045556B" w:rsidRPr="00AF274C">
        <w:rPr>
          <w:b/>
          <w:sz w:val="20"/>
          <w:szCs w:val="20"/>
          <w:lang w:val="es-ES"/>
        </w:rPr>
        <w:t>ptic</w:t>
      </w:r>
      <w:r w:rsidR="002F0519">
        <w:rPr>
          <w:b/>
          <w:sz w:val="20"/>
          <w:szCs w:val="20"/>
          <w:lang w:val="es-ES"/>
        </w:rPr>
        <w:t>o</w:t>
      </w:r>
      <w:r w:rsidR="0045556B" w:rsidRPr="00AF274C">
        <w:rPr>
          <w:b/>
          <w:sz w:val="20"/>
          <w:szCs w:val="20"/>
          <w:lang w:val="es-ES"/>
        </w:rPr>
        <w:t xml:space="preserve">s) </w:t>
      </w:r>
      <w:r w:rsidR="00555F15" w:rsidRPr="00AF274C">
        <w:rPr>
          <w:b/>
          <w:sz w:val="20"/>
          <w:szCs w:val="20"/>
          <w:lang w:val="es-ES"/>
        </w:rPr>
        <w:t xml:space="preserve">(aripiprazol, olanzapina, quetiapina, risperidona, haloperidol, entre </w:t>
      </w:r>
      <w:r w:rsidR="00581206">
        <w:rPr>
          <w:b/>
          <w:sz w:val="20"/>
          <w:szCs w:val="20"/>
          <w:lang w:val="es-ES"/>
        </w:rPr>
        <w:t>otros</w:t>
      </w:r>
      <w:r w:rsidR="00555F15" w:rsidRPr="00AF274C">
        <w:rPr>
          <w:b/>
          <w:sz w:val="20"/>
          <w:szCs w:val="20"/>
          <w:lang w:val="es-ES"/>
        </w:rPr>
        <w:t>)</w:t>
      </w:r>
    </w:p>
    <w:p w:rsidR="00A06D18" w:rsidRPr="00AF274C" w:rsidRDefault="00A06D18" w:rsidP="00C4716E">
      <w:pPr>
        <w:rPr>
          <w:sz w:val="20"/>
          <w:szCs w:val="20"/>
          <w:lang w:val="es-ES"/>
        </w:rPr>
      </w:pPr>
    </w:p>
    <w:p w:rsidR="0045556B" w:rsidRPr="00AF274C" w:rsidRDefault="00A06D18" w:rsidP="00C4716E">
      <w:pPr>
        <w:rPr>
          <w:sz w:val="20"/>
          <w:szCs w:val="20"/>
          <w:lang w:val="es-ES"/>
        </w:rPr>
      </w:pPr>
      <w:r w:rsidRPr="00AF274C">
        <w:rPr>
          <w:sz w:val="20"/>
          <w:szCs w:val="20"/>
          <w:lang w:val="es-ES"/>
        </w:rPr>
        <w:t xml:space="preserve">El </w:t>
      </w:r>
      <w:r w:rsidR="00AF274C">
        <w:rPr>
          <w:sz w:val="20"/>
          <w:szCs w:val="20"/>
          <w:lang w:val="es-ES"/>
        </w:rPr>
        <w:t>consumo</w:t>
      </w:r>
      <w:r w:rsidR="002F0519">
        <w:rPr>
          <w:sz w:val="20"/>
          <w:szCs w:val="20"/>
          <w:lang w:val="es-ES"/>
        </w:rPr>
        <w:t xml:space="preserve"> de neurolé</w:t>
      </w:r>
      <w:r w:rsidRPr="00AF274C">
        <w:rPr>
          <w:sz w:val="20"/>
          <w:szCs w:val="20"/>
          <w:lang w:val="es-ES"/>
        </w:rPr>
        <w:t>ptic</w:t>
      </w:r>
      <w:r w:rsidR="002F0519">
        <w:rPr>
          <w:sz w:val="20"/>
          <w:szCs w:val="20"/>
          <w:lang w:val="es-ES"/>
        </w:rPr>
        <w:t>o</w:t>
      </w:r>
      <w:r w:rsidRPr="00AF274C">
        <w:rPr>
          <w:sz w:val="20"/>
          <w:szCs w:val="20"/>
          <w:lang w:val="es-ES"/>
        </w:rPr>
        <w:t>s multiplica</w:t>
      </w:r>
      <w:r w:rsidR="000C2219" w:rsidRPr="00AF274C">
        <w:rPr>
          <w:sz w:val="20"/>
          <w:szCs w:val="20"/>
          <w:lang w:val="es-ES"/>
        </w:rPr>
        <w:t xml:space="preserve"> </w:t>
      </w:r>
      <w:r w:rsidR="002F0519">
        <w:rPr>
          <w:sz w:val="20"/>
          <w:szCs w:val="20"/>
          <w:lang w:val="es-ES"/>
        </w:rPr>
        <w:t>po</w:t>
      </w:r>
      <w:r w:rsidRPr="00AF274C">
        <w:rPr>
          <w:sz w:val="20"/>
          <w:szCs w:val="20"/>
          <w:lang w:val="es-ES"/>
        </w:rPr>
        <w:t xml:space="preserve">r 1,7 a 3 </w:t>
      </w:r>
      <w:r w:rsidR="0045556B" w:rsidRPr="00AF274C">
        <w:rPr>
          <w:sz w:val="20"/>
          <w:szCs w:val="20"/>
          <w:lang w:val="es-ES"/>
        </w:rPr>
        <w:t xml:space="preserve">el </w:t>
      </w:r>
      <w:r w:rsidR="00AF274C">
        <w:rPr>
          <w:sz w:val="20"/>
          <w:szCs w:val="20"/>
          <w:lang w:val="es-ES"/>
        </w:rPr>
        <w:t>riesgo</w:t>
      </w:r>
      <w:r w:rsidR="002F0519">
        <w:rPr>
          <w:sz w:val="20"/>
          <w:szCs w:val="20"/>
          <w:lang w:val="es-ES"/>
        </w:rPr>
        <w:t xml:space="preserve"> de ingre</w:t>
      </w:r>
      <w:r w:rsidR="0045556B" w:rsidRPr="00AF274C">
        <w:rPr>
          <w:sz w:val="20"/>
          <w:szCs w:val="20"/>
          <w:lang w:val="es-ES"/>
        </w:rPr>
        <w:t>s</w:t>
      </w:r>
      <w:r w:rsidR="002F0519">
        <w:rPr>
          <w:sz w:val="20"/>
          <w:szCs w:val="20"/>
          <w:lang w:val="es-ES"/>
        </w:rPr>
        <w:t>o</w:t>
      </w:r>
      <w:r w:rsidR="0045556B" w:rsidRPr="00AF274C">
        <w:rPr>
          <w:sz w:val="20"/>
          <w:szCs w:val="20"/>
          <w:lang w:val="es-ES"/>
        </w:rPr>
        <w:t xml:space="preserve"> hospitalari</w:t>
      </w:r>
      <w:r w:rsidR="002F0519">
        <w:rPr>
          <w:sz w:val="20"/>
          <w:szCs w:val="20"/>
          <w:lang w:val="es-ES"/>
        </w:rPr>
        <w:t>o po</w:t>
      </w:r>
      <w:r w:rsidR="0045556B" w:rsidRPr="00AF274C">
        <w:rPr>
          <w:sz w:val="20"/>
          <w:szCs w:val="20"/>
          <w:lang w:val="es-ES"/>
        </w:rPr>
        <w:t xml:space="preserve">r </w:t>
      </w:r>
      <w:r w:rsidR="00AF274C">
        <w:rPr>
          <w:sz w:val="20"/>
          <w:szCs w:val="20"/>
          <w:lang w:val="es-ES"/>
        </w:rPr>
        <w:t>neumonía</w:t>
      </w:r>
      <w:r w:rsidR="0045556B" w:rsidRPr="00AF274C">
        <w:rPr>
          <w:sz w:val="20"/>
          <w:szCs w:val="20"/>
          <w:lang w:val="es-ES"/>
        </w:rPr>
        <w:t>.</w:t>
      </w:r>
      <w:r w:rsidR="0045556B" w:rsidRPr="00AF274C">
        <w:rPr>
          <w:rStyle w:val="Refdenotaalfinal"/>
          <w:sz w:val="20"/>
          <w:szCs w:val="20"/>
          <w:lang w:val="es-ES"/>
        </w:rPr>
        <w:endnoteReference w:id="2"/>
      </w:r>
      <w:r w:rsidR="00166DE1" w:rsidRPr="00AF274C">
        <w:rPr>
          <w:sz w:val="20"/>
          <w:szCs w:val="20"/>
          <w:vertAlign w:val="superscript"/>
          <w:lang w:val="es-ES"/>
        </w:rPr>
        <w:t>,</w:t>
      </w:r>
      <w:r w:rsidR="00166DE1" w:rsidRPr="00AF274C">
        <w:rPr>
          <w:rStyle w:val="Refdenotaalfinal"/>
          <w:sz w:val="20"/>
          <w:szCs w:val="20"/>
          <w:lang w:val="es-ES"/>
        </w:rPr>
        <w:endnoteReference w:id="3"/>
      </w:r>
      <w:proofErr w:type="gramStart"/>
      <w:r w:rsidR="00166DE1" w:rsidRPr="00AF274C">
        <w:rPr>
          <w:sz w:val="20"/>
          <w:szCs w:val="20"/>
          <w:vertAlign w:val="superscript"/>
          <w:lang w:val="es-ES"/>
        </w:rPr>
        <w:t>,</w:t>
      </w:r>
      <w:r w:rsidR="00166DE1" w:rsidRPr="00AF274C">
        <w:rPr>
          <w:rStyle w:val="Refdenotaalfinal"/>
          <w:sz w:val="20"/>
          <w:szCs w:val="20"/>
          <w:lang w:val="es-ES"/>
        </w:rPr>
        <w:endnoteReference w:id="4"/>
      </w:r>
      <w:r w:rsidR="00166DE1" w:rsidRPr="00AF274C">
        <w:rPr>
          <w:sz w:val="20"/>
          <w:szCs w:val="20"/>
          <w:vertAlign w:val="superscript"/>
          <w:lang w:val="es-ES"/>
        </w:rPr>
        <w:t>,</w:t>
      </w:r>
      <w:r w:rsidR="00166DE1" w:rsidRPr="00AF274C">
        <w:rPr>
          <w:rStyle w:val="Refdenotaalfinal"/>
          <w:sz w:val="20"/>
          <w:szCs w:val="20"/>
          <w:lang w:val="es-ES"/>
        </w:rPr>
        <w:endnoteReference w:id="5"/>
      </w:r>
      <w:r w:rsidR="00166DE1" w:rsidRPr="00AF274C">
        <w:rPr>
          <w:sz w:val="20"/>
          <w:szCs w:val="20"/>
          <w:vertAlign w:val="superscript"/>
          <w:lang w:val="es-ES"/>
        </w:rPr>
        <w:t>,</w:t>
      </w:r>
      <w:r w:rsidR="00166DE1" w:rsidRPr="00AF274C">
        <w:rPr>
          <w:rStyle w:val="Refdenotaalfinal"/>
          <w:sz w:val="20"/>
          <w:szCs w:val="20"/>
          <w:lang w:val="es-ES"/>
        </w:rPr>
        <w:endnoteReference w:id="6"/>
      </w:r>
      <w:r w:rsidR="00166DE1" w:rsidRPr="00AF274C">
        <w:rPr>
          <w:sz w:val="20"/>
          <w:szCs w:val="20"/>
          <w:vertAlign w:val="superscript"/>
          <w:lang w:val="es-ES"/>
        </w:rPr>
        <w:t>,</w:t>
      </w:r>
      <w:proofErr w:type="gramEnd"/>
      <w:r w:rsidR="00166DE1" w:rsidRPr="00AF274C">
        <w:rPr>
          <w:rStyle w:val="Refdenotaalfinal"/>
          <w:sz w:val="20"/>
          <w:szCs w:val="20"/>
          <w:lang w:val="es-ES"/>
        </w:rPr>
        <w:endnoteReference w:id="7"/>
      </w:r>
      <w:r w:rsidR="00555FCB" w:rsidRPr="00AF274C">
        <w:rPr>
          <w:sz w:val="20"/>
          <w:szCs w:val="20"/>
          <w:lang w:val="es-ES"/>
        </w:rPr>
        <w:t xml:space="preserve"> </w:t>
      </w:r>
      <w:r w:rsidRPr="00AF274C">
        <w:rPr>
          <w:sz w:val="20"/>
          <w:szCs w:val="20"/>
          <w:lang w:val="es-ES"/>
        </w:rPr>
        <w:t>Tamb</w:t>
      </w:r>
      <w:r w:rsidR="002F0519">
        <w:rPr>
          <w:sz w:val="20"/>
          <w:szCs w:val="20"/>
          <w:lang w:val="es-ES"/>
        </w:rPr>
        <w:t>i</w:t>
      </w:r>
      <w:r w:rsidRPr="00AF274C">
        <w:rPr>
          <w:sz w:val="20"/>
          <w:szCs w:val="20"/>
          <w:lang w:val="es-ES"/>
        </w:rPr>
        <w:t>é</w:t>
      </w:r>
      <w:r w:rsidR="002F0519">
        <w:rPr>
          <w:sz w:val="20"/>
          <w:szCs w:val="20"/>
          <w:lang w:val="es-ES"/>
        </w:rPr>
        <w:t>n aumenta la mortalidad po</w:t>
      </w:r>
      <w:r w:rsidRPr="00AF274C">
        <w:rPr>
          <w:sz w:val="20"/>
          <w:szCs w:val="20"/>
          <w:lang w:val="es-ES"/>
        </w:rPr>
        <w:t xml:space="preserve">r </w:t>
      </w:r>
      <w:r w:rsidR="00AF274C">
        <w:rPr>
          <w:sz w:val="20"/>
          <w:szCs w:val="20"/>
          <w:lang w:val="es-ES"/>
        </w:rPr>
        <w:t>neumonía</w:t>
      </w:r>
      <w:r w:rsidR="002F0519">
        <w:rPr>
          <w:sz w:val="20"/>
          <w:szCs w:val="20"/>
          <w:lang w:val="es-ES"/>
        </w:rPr>
        <w:t xml:space="preserve"> y po</w:t>
      </w:r>
      <w:r w:rsidRPr="00AF274C">
        <w:rPr>
          <w:sz w:val="20"/>
          <w:szCs w:val="20"/>
          <w:lang w:val="es-ES"/>
        </w:rPr>
        <w:t xml:space="preserve">r </w:t>
      </w:r>
      <w:r w:rsidR="002F0519">
        <w:rPr>
          <w:sz w:val="20"/>
          <w:szCs w:val="20"/>
          <w:lang w:val="es-ES"/>
        </w:rPr>
        <w:t>otra</w:t>
      </w:r>
      <w:r w:rsidR="00581206">
        <w:rPr>
          <w:sz w:val="20"/>
          <w:szCs w:val="20"/>
          <w:lang w:val="es-ES"/>
        </w:rPr>
        <w:t>s</w:t>
      </w:r>
      <w:r w:rsidR="002F0519">
        <w:rPr>
          <w:sz w:val="20"/>
          <w:szCs w:val="20"/>
          <w:lang w:val="es-ES"/>
        </w:rPr>
        <w:t xml:space="preserve"> causa</w:t>
      </w:r>
      <w:r w:rsidRPr="00AF274C">
        <w:rPr>
          <w:sz w:val="20"/>
          <w:szCs w:val="20"/>
          <w:lang w:val="es-ES"/>
        </w:rPr>
        <w:t>s.</w:t>
      </w:r>
    </w:p>
    <w:p w:rsidR="00487E6C" w:rsidRPr="00AF274C" w:rsidRDefault="00487E6C" w:rsidP="00AA4374">
      <w:pPr>
        <w:autoSpaceDE w:val="0"/>
        <w:autoSpaceDN w:val="0"/>
        <w:adjustRightInd w:val="0"/>
        <w:rPr>
          <w:rFonts w:cs="Tahoma"/>
          <w:b/>
          <w:sz w:val="20"/>
          <w:szCs w:val="20"/>
          <w:lang w:val="es-ES"/>
        </w:rPr>
      </w:pPr>
    </w:p>
    <w:p w:rsidR="0045556B" w:rsidRPr="00AF274C" w:rsidRDefault="002F0519" w:rsidP="00C4716E">
      <w:pPr>
        <w:autoSpaceDE w:val="0"/>
        <w:autoSpaceDN w:val="0"/>
        <w:adjustRightInd w:val="0"/>
        <w:ind w:left="426" w:hanging="142"/>
        <w:rPr>
          <w:rFonts w:cs="Tahoma"/>
          <w:sz w:val="18"/>
          <w:szCs w:val="18"/>
          <w:lang w:val="es-ES" w:eastAsia="ca-ES"/>
        </w:rPr>
      </w:pPr>
      <w:r>
        <w:rPr>
          <w:rFonts w:cs="Tahoma"/>
          <w:sz w:val="18"/>
          <w:szCs w:val="18"/>
          <w:lang w:val="es-ES" w:eastAsia="ca-ES"/>
        </w:rPr>
        <w:t>En</w:t>
      </w:r>
      <w:r w:rsidR="003142E5" w:rsidRPr="00AF274C">
        <w:rPr>
          <w:rFonts w:cs="Tahoma"/>
          <w:sz w:val="18"/>
          <w:szCs w:val="18"/>
          <w:lang w:val="es-ES" w:eastAsia="ca-ES"/>
        </w:rPr>
        <w:t xml:space="preserve"> </w:t>
      </w:r>
      <w:r w:rsidR="00AF274C">
        <w:rPr>
          <w:rFonts w:cs="Tahoma"/>
          <w:sz w:val="18"/>
          <w:szCs w:val="18"/>
          <w:lang w:val="es-ES" w:eastAsia="ca-ES"/>
        </w:rPr>
        <w:t>Cataluña</w:t>
      </w:r>
      <w:r w:rsidR="00C91ABB" w:rsidRPr="00AF274C">
        <w:rPr>
          <w:rFonts w:cs="Tahoma"/>
          <w:sz w:val="18"/>
          <w:szCs w:val="18"/>
          <w:lang w:val="es-ES" w:eastAsia="ca-ES"/>
        </w:rPr>
        <w:t>,</w:t>
      </w:r>
      <w:r w:rsidR="003142E5" w:rsidRPr="00AF274C">
        <w:rPr>
          <w:rFonts w:cs="Tahoma"/>
          <w:sz w:val="18"/>
          <w:szCs w:val="18"/>
          <w:lang w:val="es-ES" w:eastAsia="ca-ES"/>
        </w:rPr>
        <w:t xml:space="preserve"> </w:t>
      </w:r>
      <w:r w:rsidR="00C91ABB" w:rsidRPr="00AF274C">
        <w:rPr>
          <w:rFonts w:cs="Tahoma"/>
          <w:sz w:val="18"/>
          <w:szCs w:val="18"/>
          <w:lang w:val="es-ES" w:eastAsia="ca-ES"/>
        </w:rPr>
        <w:t xml:space="preserve">en </w:t>
      </w:r>
      <w:r w:rsidR="00FA2E86">
        <w:rPr>
          <w:rFonts w:cs="Tahoma"/>
          <w:sz w:val="18"/>
          <w:szCs w:val="18"/>
          <w:lang w:val="es-ES" w:eastAsia="ca-ES"/>
        </w:rPr>
        <w:t>2015, 89.431 persona</w:t>
      </w:r>
      <w:r w:rsidR="003142E5" w:rsidRPr="00AF274C">
        <w:rPr>
          <w:rFonts w:cs="Tahoma"/>
          <w:sz w:val="18"/>
          <w:szCs w:val="18"/>
          <w:lang w:val="es-ES" w:eastAsia="ca-ES"/>
        </w:rPr>
        <w:t xml:space="preserve">s </w:t>
      </w:r>
      <w:r w:rsidR="00FA2E86">
        <w:rPr>
          <w:rFonts w:cs="Tahoma"/>
          <w:sz w:val="18"/>
          <w:szCs w:val="18"/>
          <w:lang w:val="es-ES" w:eastAsia="ca-ES"/>
        </w:rPr>
        <w:t>(60.000 muje</w:t>
      </w:r>
      <w:r w:rsidR="000965F0">
        <w:rPr>
          <w:rFonts w:cs="Tahoma"/>
          <w:sz w:val="18"/>
          <w:szCs w:val="18"/>
          <w:lang w:val="es-ES" w:eastAsia="ca-ES"/>
        </w:rPr>
        <w:t>r</w:t>
      </w:r>
      <w:r w:rsidR="00F65664" w:rsidRPr="00AF274C">
        <w:rPr>
          <w:rFonts w:cs="Tahoma"/>
          <w:sz w:val="18"/>
          <w:szCs w:val="18"/>
          <w:lang w:val="es-ES" w:eastAsia="ca-ES"/>
        </w:rPr>
        <w:t xml:space="preserve">es) </w:t>
      </w:r>
      <w:r w:rsidR="00FA2E86">
        <w:rPr>
          <w:rFonts w:cs="Tahoma"/>
          <w:sz w:val="18"/>
          <w:szCs w:val="18"/>
          <w:lang w:val="es-ES"/>
        </w:rPr>
        <w:t>mayores de</w:t>
      </w:r>
      <w:r w:rsidR="00C91ABB" w:rsidRPr="00AF274C">
        <w:rPr>
          <w:rFonts w:cs="Tahoma"/>
          <w:sz w:val="18"/>
          <w:szCs w:val="18"/>
          <w:lang w:val="es-ES"/>
        </w:rPr>
        <w:t xml:space="preserve"> 70 </w:t>
      </w:r>
      <w:r w:rsidR="00581206">
        <w:rPr>
          <w:rFonts w:cs="Tahoma"/>
          <w:sz w:val="18"/>
          <w:szCs w:val="18"/>
          <w:lang w:val="es-ES"/>
        </w:rPr>
        <w:t>años</w:t>
      </w:r>
      <w:r w:rsidR="00C91ABB" w:rsidRPr="00AF274C">
        <w:rPr>
          <w:rFonts w:cs="Tahoma"/>
          <w:sz w:val="18"/>
          <w:szCs w:val="18"/>
          <w:lang w:val="es-ES"/>
        </w:rPr>
        <w:t xml:space="preserve"> </w:t>
      </w:r>
      <w:r w:rsidR="000965F0">
        <w:rPr>
          <w:rFonts w:cs="Tahoma"/>
          <w:sz w:val="18"/>
          <w:szCs w:val="18"/>
          <w:lang w:val="es-ES" w:eastAsia="ca-ES"/>
        </w:rPr>
        <w:t>recibió</w:t>
      </w:r>
      <w:r w:rsidR="006923FB" w:rsidRPr="00AF274C">
        <w:rPr>
          <w:rFonts w:cs="Tahoma"/>
          <w:sz w:val="18"/>
          <w:szCs w:val="18"/>
          <w:lang w:val="es-ES" w:eastAsia="ca-ES"/>
        </w:rPr>
        <w:t xml:space="preserve"> </w:t>
      </w:r>
      <w:r w:rsidR="003142E5" w:rsidRPr="00AF274C">
        <w:rPr>
          <w:rFonts w:cs="Tahoma"/>
          <w:sz w:val="18"/>
          <w:szCs w:val="18"/>
          <w:lang w:val="es-ES" w:eastAsia="ca-ES"/>
        </w:rPr>
        <w:t>un antipsic</w:t>
      </w:r>
      <w:r w:rsidR="000965F0">
        <w:rPr>
          <w:rFonts w:cs="Tahoma"/>
          <w:sz w:val="18"/>
          <w:szCs w:val="18"/>
          <w:lang w:val="es-ES" w:eastAsia="ca-ES"/>
        </w:rPr>
        <w:t>ótico</w:t>
      </w:r>
      <w:r w:rsidR="006923FB" w:rsidRPr="00AF274C">
        <w:rPr>
          <w:rFonts w:cs="Tahoma"/>
          <w:sz w:val="18"/>
          <w:szCs w:val="18"/>
          <w:lang w:val="es-ES" w:eastAsia="ca-ES"/>
        </w:rPr>
        <w:t xml:space="preserve">, </w:t>
      </w:r>
      <w:r w:rsidR="00AF274C">
        <w:rPr>
          <w:rFonts w:cs="Tahoma"/>
          <w:sz w:val="18"/>
          <w:szCs w:val="18"/>
          <w:lang w:val="es-ES" w:eastAsia="ca-ES"/>
        </w:rPr>
        <w:t>generalmente</w:t>
      </w:r>
      <w:r w:rsidR="006923FB" w:rsidRPr="00AF274C">
        <w:rPr>
          <w:rFonts w:cs="Tahoma"/>
          <w:sz w:val="18"/>
          <w:szCs w:val="18"/>
          <w:lang w:val="es-ES" w:eastAsia="ca-ES"/>
        </w:rPr>
        <w:t xml:space="preserve"> en </w:t>
      </w:r>
      <w:r w:rsidR="00AF274C">
        <w:rPr>
          <w:rFonts w:cs="Tahoma"/>
          <w:sz w:val="18"/>
          <w:szCs w:val="18"/>
          <w:lang w:val="es-ES" w:eastAsia="ca-ES"/>
        </w:rPr>
        <w:t>tratamiento</w:t>
      </w:r>
      <w:r w:rsidR="000965F0">
        <w:rPr>
          <w:rFonts w:cs="Tahoma"/>
          <w:sz w:val="18"/>
          <w:szCs w:val="18"/>
          <w:lang w:val="es-ES" w:eastAsia="ca-ES"/>
        </w:rPr>
        <w:t xml:space="preserve"> continuado (más de 7 meses po</w:t>
      </w:r>
      <w:r w:rsidR="006923FB" w:rsidRPr="00AF274C">
        <w:rPr>
          <w:rFonts w:cs="Tahoma"/>
          <w:sz w:val="18"/>
          <w:szCs w:val="18"/>
          <w:lang w:val="es-ES" w:eastAsia="ca-ES"/>
        </w:rPr>
        <w:t>r pacient</w:t>
      </w:r>
      <w:r w:rsidR="000965F0">
        <w:rPr>
          <w:rFonts w:cs="Tahoma"/>
          <w:sz w:val="18"/>
          <w:szCs w:val="18"/>
          <w:lang w:val="es-ES" w:eastAsia="ca-ES"/>
        </w:rPr>
        <w:t>e y año</w:t>
      </w:r>
      <w:r w:rsidR="006923FB" w:rsidRPr="00AF274C">
        <w:rPr>
          <w:rFonts w:cs="Tahoma"/>
          <w:sz w:val="18"/>
          <w:szCs w:val="18"/>
          <w:lang w:val="es-ES" w:eastAsia="ca-ES"/>
        </w:rPr>
        <w:t>)</w:t>
      </w:r>
      <w:r w:rsidR="00C91ABB" w:rsidRPr="00AF274C">
        <w:rPr>
          <w:rFonts w:cs="Tahoma"/>
          <w:sz w:val="18"/>
          <w:szCs w:val="18"/>
          <w:lang w:val="es-ES" w:eastAsia="ca-ES"/>
        </w:rPr>
        <w:t>.</w:t>
      </w:r>
      <w:r w:rsidR="00C91ABB" w:rsidRPr="00AF274C">
        <w:rPr>
          <w:rFonts w:cs="Tahoma"/>
          <w:sz w:val="18"/>
          <w:szCs w:val="18"/>
          <w:lang w:val="es-ES"/>
        </w:rPr>
        <w:t xml:space="preserve"> </w:t>
      </w:r>
      <w:r w:rsidR="000965F0">
        <w:rPr>
          <w:rFonts w:cs="Tahoma"/>
          <w:sz w:val="18"/>
          <w:szCs w:val="18"/>
          <w:lang w:val="es-ES"/>
        </w:rPr>
        <w:t xml:space="preserve">De </w:t>
      </w:r>
      <w:r w:rsidR="00AF274C">
        <w:rPr>
          <w:rFonts w:cs="Tahoma"/>
          <w:sz w:val="18"/>
          <w:szCs w:val="18"/>
          <w:lang w:val="es-ES"/>
        </w:rPr>
        <w:t>estas</w:t>
      </w:r>
      <w:r w:rsidR="000965F0">
        <w:rPr>
          <w:rFonts w:cs="Tahoma"/>
          <w:sz w:val="18"/>
          <w:szCs w:val="18"/>
          <w:lang w:val="es-ES"/>
        </w:rPr>
        <w:t xml:space="preserve"> personas, un 7% recibió dos o más de manera simultánea (una práctica sin</w:t>
      </w:r>
      <w:r w:rsidR="0056603F" w:rsidRPr="00AF274C">
        <w:rPr>
          <w:rFonts w:cs="Tahoma"/>
          <w:sz w:val="18"/>
          <w:szCs w:val="18"/>
          <w:lang w:val="es-ES"/>
        </w:rPr>
        <w:t xml:space="preserve"> justificació</w:t>
      </w:r>
      <w:r w:rsidR="000965F0">
        <w:rPr>
          <w:rFonts w:cs="Tahoma"/>
          <w:sz w:val="18"/>
          <w:szCs w:val="18"/>
          <w:lang w:val="es-ES"/>
        </w:rPr>
        <w:t>n</w:t>
      </w:r>
      <w:r w:rsidR="0056603F" w:rsidRPr="00AF274C">
        <w:rPr>
          <w:rFonts w:cs="Tahoma"/>
          <w:sz w:val="18"/>
          <w:szCs w:val="18"/>
          <w:lang w:val="es-ES"/>
        </w:rPr>
        <w:t xml:space="preserve"> aparent</w:t>
      </w:r>
      <w:r w:rsidR="000965F0">
        <w:rPr>
          <w:rFonts w:cs="Tahoma"/>
          <w:sz w:val="18"/>
          <w:szCs w:val="18"/>
          <w:lang w:val="es-ES"/>
        </w:rPr>
        <w:t>e</w:t>
      </w:r>
      <w:r w:rsidR="0056603F" w:rsidRPr="00AF274C">
        <w:rPr>
          <w:rFonts w:cs="Tahoma"/>
          <w:sz w:val="18"/>
          <w:szCs w:val="18"/>
          <w:lang w:val="es-ES"/>
        </w:rPr>
        <w:t xml:space="preserve">). </w:t>
      </w:r>
      <w:r w:rsidR="000965F0">
        <w:rPr>
          <w:rFonts w:cs="Tahoma"/>
          <w:sz w:val="18"/>
          <w:szCs w:val="18"/>
          <w:lang w:val="es-ES"/>
        </w:rPr>
        <w:t>Los má</w:t>
      </w:r>
      <w:r w:rsidR="00C91ABB" w:rsidRPr="00AF274C">
        <w:rPr>
          <w:rFonts w:cs="Tahoma"/>
          <w:sz w:val="18"/>
          <w:szCs w:val="18"/>
          <w:lang w:val="es-ES"/>
        </w:rPr>
        <w:t xml:space="preserve">s </w:t>
      </w:r>
      <w:r w:rsidR="000965F0">
        <w:rPr>
          <w:rFonts w:cs="Tahoma"/>
          <w:sz w:val="18"/>
          <w:szCs w:val="18"/>
          <w:lang w:val="es-ES"/>
        </w:rPr>
        <w:t>consumido</w:t>
      </w:r>
      <w:r w:rsidR="00D63E78">
        <w:rPr>
          <w:rFonts w:cs="Tahoma"/>
          <w:sz w:val="18"/>
          <w:szCs w:val="18"/>
          <w:lang w:val="es-ES"/>
        </w:rPr>
        <w:t>s fueron quetiapina (unas 40.000 persona</w:t>
      </w:r>
      <w:r w:rsidR="00C91ABB" w:rsidRPr="00AF274C">
        <w:rPr>
          <w:rFonts w:cs="Tahoma"/>
          <w:sz w:val="18"/>
          <w:szCs w:val="18"/>
          <w:lang w:val="es-ES"/>
        </w:rPr>
        <w:t xml:space="preserve">s), risperidona </w:t>
      </w:r>
      <w:r w:rsidR="00B73742">
        <w:rPr>
          <w:rFonts w:cs="Tahoma"/>
          <w:sz w:val="18"/>
          <w:szCs w:val="18"/>
          <w:lang w:val="es-ES"/>
        </w:rPr>
        <w:t>(25.000), haloperidol (13.600) y</w:t>
      </w:r>
      <w:r w:rsidR="00C91ABB" w:rsidRPr="00AF274C">
        <w:rPr>
          <w:rFonts w:cs="Tahoma"/>
          <w:sz w:val="18"/>
          <w:szCs w:val="18"/>
          <w:lang w:val="es-ES"/>
        </w:rPr>
        <w:t xml:space="preserve"> olanzapina (4.000)</w:t>
      </w:r>
      <w:proofErr w:type="gramStart"/>
      <w:r w:rsidR="00F65664" w:rsidRPr="00AF274C">
        <w:rPr>
          <w:rFonts w:cs="Tahoma"/>
          <w:sz w:val="18"/>
          <w:szCs w:val="18"/>
          <w:lang w:val="es-ES" w:eastAsia="ca-ES"/>
        </w:rPr>
        <w:t>:</w:t>
      </w:r>
      <w:r w:rsidR="00F65664" w:rsidRPr="00AF274C">
        <w:rPr>
          <w:rStyle w:val="Refdenotaalfinal"/>
          <w:rFonts w:cs="Tahoma"/>
          <w:sz w:val="18"/>
          <w:szCs w:val="18"/>
          <w:lang w:val="es-ES" w:eastAsia="ca-ES"/>
        </w:rPr>
        <w:endnoteReference w:id="8"/>
      </w:r>
      <w:r w:rsidR="00A10B54" w:rsidRPr="00AF274C">
        <w:rPr>
          <w:rFonts w:cs="Tahoma"/>
          <w:sz w:val="18"/>
          <w:szCs w:val="18"/>
          <w:vertAlign w:val="superscript"/>
          <w:lang w:val="es-ES" w:eastAsia="ca-ES"/>
        </w:rPr>
        <w:t>,</w:t>
      </w:r>
      <w:proofErr w:type="gramEnd"/>
      <w:r w:rsidR="00A10B54" w:rsidRPr="00AF274C">
        <w:rPr>
          <w:rStyle w:val="Refdenotaalfinal"/>
          <w:rFonts w:cs="Tahoma"/>
          <w:sz w:val="18"/>
          <w:szCs w:val="18"/>
          <w:lang w:val="es-ES" w:eastAsia="ca-ES"/>
        </w:rPr>
        <w:endnoteReference w:id="9"/>
      </w:r>
      <w:r w:rsidR="00C91ABB" w:rsidRPr="00AF274C">
        <w:rPr>
          <w:rFonts w:cs="Tahoma"/>
          <w:sz w:val="18"/>
          <w:szCs w:val="18"/>
          <w:lang w:val="es-ES" w:eastAsia="ca-ES"/>
        </w:rPr>
        <w:t xml:space="preserve"> </w:t>
      </w:r>
    </w:p>
    <w:p w:rsidR="003142E5" w:rsidRPr="00AF274C" w:rsidRDefault="003142E5" w:rsidP="00C4716E">
      <w:pPr>
        <w:autoSpaceDE w:val="0"/>
        <w:autoSpaceDN w:val="0"/>
        <w:adjustRightInd w:val="0"/>
        <w:ind w:left="426" w:hanging="142"/>
        <w:rPr>
          <w:rFonts w:cs="Tahoma"/>
          <w:sz w:val="20"/>
          <w:szCs w:val="20"/>
          <w:lang w:val="es-ES"/>
        </w:rPr>
      </w:pPr>
    </w:p>
    <w:p w:rsidR="0045556B" w:rsidRPr="00AF274C" w:rsidRDefault="003142E5" w:rsidP="00ED46C8">
      <w:pPr>
        <w:ind w:left="567"/>
        <w:rPr>
          <w:rFonts w:cs="Tahoma"/>
          <w:sz w:val="20"/>
          <w:szCs w:val="20"/>
          <w:lang w:val="es-ES"/>
        </w:rPr>
      </w:pPr>
      <w:r w:rsidRPr="00AF274C">
        <w:rPr>
          <w:noProof/>
          <w:lang w:val="es-ES" w:eastAsia="ca-ES"/>
        </w:rPr>
        <w:drawing>
          <wp:inline distT="0" distB="0" distL="0" distR="0">
            <wp:extent cx="1819656" cy="1216152"/>
            <wp:effectExtent l="19050" t="0" r="9144" b="0"/>
            <wp:docPr id="1" name="Imagen 1" descr="Antipsicòtics gent g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psicòtics gent gran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656" cy="1216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ABB" w:rsidRPr="00AF274C" w:rsidRDefault="00C91ABB" w:rsidP="00ED46C8">
      <w:pPr>
        <w:ind w:left="567"/>
        <w:rPr>
          <w:rFonts w:cs="Tahoma"/>
          <w:sz w:val="16"/>
          <w:szCs w:val="16"/>
          <w:lang w:val="es-ES"/>
        </w:rPr>
      </w:pPr>
      <w:r w:rsidRPr="00AF274C">
        <w:rPr>
          <w:rFonts w:cs="Tahoma"/>
          <w:sz w:val="16"/>
          <w:szCs w:val="16"/>
          <w:lang w:val="es-ES"/>
        </w:rPr>
        <w:t>Fi</w:t>
      </w:r>
      <w:r w:rsidR="000965F0">
        <w:rPr>
          <w:rFonts w:cs="Tahoma"/>
          <w:sz w:val="16"/>
          <w:szCs w:val="16"/>
          <w:lang w:val="es-ES"/>
        </w:rPr>
        <w:t>gura 1. Porcentaj</w:t>
      </w:r>
      <w:r w:rsidR="00ED46C8" w:rsidRPr="00AF274C">
        <w:rPr>
          <w:rFonts w:cs="Tahoma"/>
          <w:sz w:val="16"/>
          <w:szCs w:val="16"/>
          <w:lang w:val="es-ES"/>
        </w:rPr>
        <w:t>e de</w:t>
      </w:r>
      <w:r w:rsidR="000965F0">
        <w:rPr>
          <w:rFonts w:cs="Tahoma"/>
          <w:sz w:val="16"/>
          <w:szCs w:val="16"/>
          <w:lang w:val="es-ES"/>
        </w:rPr>
        <w:t xml:space="preserve"> </w:t>
      </w:r>
      <w:r w:rsidR="00ED46C8" w:rsidRPr="00AF274C">
        <w:rPr>
          <w:rFonts w:cs="Tahoma"/>
          <w:sz w:val="16"/>
          <w:szCs w:val="16"/>
          <w:lang w:val="es-ES"/>
        </w:rPr>
        <w:t>l</w:t>
      </w:r>
      <w:r w:rsidR="000965F0">
        <w:rPr>
          <w:rFonts w:cs="Tahoma"/>
          <w:sz w:val="16"/>
          <w:szCs w:val="16"/>
          <w:lang w:val="es-ES"/>
        </w:rPr>
        <w:t>o</w:t>
      </w:r>
      <w:r w:rsidR="00ED46C8" w:rsidRPr="00AF274C">
        <w:rPr>
          <w:rFonts w:cs="Tahoma"/>
          <w:sz w:val="16"/>
          <w:szCs w:val="16"/>
          <w:lang w:val="es-ES"/>
        </w:rPr>
        <w:t xml:space="preserve">s </w:t>
      </w:r>
      <w:r w:rsidR="00FA2E86">
        <w:rPr>
          <w:rFonts w:cs="Tahoma"/>
          <w:sz w:val="16"/>
          <w:szCs w:val="16"/>
          <w:lang w:val="es-ES"/>
        </w:rPr>
        <w:t>mayores de</w:t>
      </w:r>
      <w:r w:rsidR="00ED46C8" w:rsidRPr="00AF274C">
        <w:rPr>
          <w:rFonts w:cs="Tahoma"/>
          <w:sz w:val="16"/>
          <w:szCs w:val="16"/>
          <w:lang w:val="es-ES"/>
        </w:rPr>
        <w:t xml:space="preserve"> 70 </w:t>
      </w:r>
      <w:r w:rsidR="00581206">
        <w:rPr>
          <w:rFonts w:cs="Tahoma"/>
          <w:sz w:val="16"/>
          <w:szCs w:val="16"/>
          <w:lang w:val="es-ES"/>
        </w:rPr>
        <w:t>años</w:t>
      </w:r>
      <w:r w:rsidR="00ED46C8" w:rsidRPr="00AF274C">
        <w:rPr>
          <w:rFonts w:cs="Tahoma"/>
          <w:sz w:val="16"/>
          <w:szCs w:val="16"/>
          <w:lang w:val="es-ES"/>
        </w:rPr>
        <w:t xml:space="preserve"> que </w:t>
      </w:r>
      <w:r w:rsidR="000965F0">
        <w:rPr>
          <w:rFonts w:cs="Tahoma"/>
          <w:sz w:val="16"/>
          <w:szCs w:val="16"/>
          <w:lang w:val="es-ES"/>
        </w:rPr>
        <w:t>consume</w:t>
      </w:r>
      <w:r w:rsidR="00ED46C8" w:rsidRPr="00AF274C">
        <w:rPr>
          <w:rFonts w:cs="Tahoma"/>
          <w:sz w:val="16"/>
          <w:szCs w:val="16"/>
          <w:lang w:val="es-ES"/>
        </w:rPr>
        <w:t xml:space="preserve">n </w:t>
      </w:r>
      <w:r w:rsidR="00AF274C" w:rsidRPr="00AF274C">
        <w:rPr>
          <w:rFonts w:cs="Tahoma"/>
          <w:sz w:val="16"/>
          <w:szCs w:val="16"/>
          <w:lang w:val="es-ES"/>
        </w:rPr>
        <w:t>antipsicóticos</w:t>
      </w:r>
      <w:r w:rsidR="000965F0">
        <w:rPr>
          <w:rFonts w:cs="Tahoma"/>
          <w:sz w:val="16"/>
          <w:szCs w:val="16"/>
          <w:lang w:val="es-ES"/>
        </w:rPr>
        <w:t>, po</w:t>
      </w:r>
      <w:r w:rsidR="00ED46C8" w:rsidRPr="00AF274C">
        <w:rPr>
          <w:rFonts w:cs="Tahoma"/>
          <w:sz w:val="16"/>
          <w:szCs w:val="16"/>
          <w:lang w:val="es-ES"/>
        </w:rPr>
        <w:t>r tram</w:t>
      </w:r>
      <w:r w:rsidR="000965F0">
        <w:rPr>
          <w:rFonts w:cs="Tahoma"/>
          <w:sz w:val="16"/>
          <w:szCs w:val="16"/>
          <w:lang w:val="es-ES"/>
        </w:rPr>
        <w:t>os de edad y sexo</w:t>
      </w:r>
      <w:r w:rsidR="00ED46C8" w:rsidRPr="00AF274C">
        <w:rPr>
          <w:rFonts w:cs="Tahoma"/>
          <w:sz w:val="16"/>
          <w:szCs w:val="16"/>
          <w:lang w:val="es-ES"/>
        </w:rPr>
        <w:t xml:space="preserve"> (hom</w:t>
      </w:r>
      <w:r w:rsidR="000965F0">
        <w:rPr>
          <w:rFonts w:cs="Tahoma"/>
          <w:sz w:val="16"/>
          <w:szCs w:val="16"/>
          <w:lang w:val="es-ES"/>
        </w:rPr>
        <w:t>br</w:t>
      </w:r>
      <w:r w:rsidR="00ED46C8" w:rsidRPr="00AF274C">
        <w:rPr>
          <w:rFonts w:cs="Tahoma"/>
          <w:sz w:val="16"/>
          <w:szCs w:val="16"/>
          <w:lang w:val="es-ES"/>
        </w:rPr>
        <w:t>es: clar</w:t>
      </w:r>
      <w:r w:rsidR="000965F0">
        <w:rPr>
          <w:rFonts w:cs="Tahoma"/>
          <w:sz w:val="16"/>
          <w:szCs w:val="16"/>
          <w:lang w:val="es-ES"/>
        </w:rPr>
        <w:t>o; mujer</w:t>
      </w:r>
      <w:r w:rsidR="00ED46C8" w:rsidRPr="00AF274C">
        <w:rPr>
          <w:rFonts w:cs="Tahoma"/>
          <w:sz w:val="16"/>
          <w:szCs w:val="16"/>
          <w:lang w:val="es-ES"/>
        </w:rPr>
        <w:t xml:space="preserve">es: </w:t>
      </w:r>
      <w:r w:rsidR="000965F0">
        <w:rPr>
          <w:rFonts w:cs="Tahoma"/>
          <w:sz w:val="16"/>
          <w:szCs w:val="16"/>
          <w:lang w:val="es-ES"/>
        </w:rPr>
        <w:t>oscuro</w:t>
      </w:r>
      <w:r w:rsidRPr="00AF274C">
        <w:rPr>
          <w:rFonts w:cs="Tahoma"/>
          <w:sz w:val="16"/>
          <w:szCs w:val="16"/>
          <w:lang w:val="es-ES"/>
        </w:rPr>
        <w:t>) (</w:t>
      </w:r>
      <w:r w:rsidR="00AF274C" w:rsidRPr="00AF274C">
        <w:rPr>
          <w:rFonts w:cs="Tahoma"/>
          <w:sz w:val="16"/>
          <w:szCs w:val="16"/>
          <w:lang w:val="es-ES"/>
        </w:rPr>
        <w:t>Cataluña</w:t>
      </w:r>
      <w:r w:rsidRPr="00AF274C">
        <w:rPr>
          <w:rFonts w:cs="Tahoma"/>
          <w:sz w:val="16"/>
          <w:szCs w:val="16"/>
          <w:lang w:val="es-ES"/>
        </w:rPr>
        <w:t>, 2015).</w:t>
      </w:r>
    </w:p>
    <w:p w:rsidR="00C91ABB" w:rsidRPr="00AF274C" w:rsidRDefault="00C91ABB" w:rsidP="0045556B">
      <w:pPr>
        <w:rPr>
          <w:rFonts w:cs="Tahoma"/>
          <w:sz w:val="20"/>
          <w:szCs w:val="20"/>
          <w:lang w:val="es-ES"/>
        </w:rPr>
      </w:pPr>
    </w:p>
    <w:p w:rsidR="00FF022E" w:rsidRPr="00AF274C" w:rsidRDefault="000965F0" w:rsidP="00C4716E">
      <w:pPr>
        <w:ind w:left="426" w:hanging="142"/>
        <w:rPr>
          <w:rFonts w:cs="Tahoma"/>
          <w:sz w:val="18"/>
          <w:szCs w:val="18"/>
          <w:lang w:val="es-ES"/>
        </w:rPr>
      </w:pPr>
      <w:r>
        <w:rPr>
          <w:rFonts w:cs="Tahoma"/>
          <w:sz w:val="18"/>
          <w:szCs w:val="18"/>
          <w:lang w:val="es-ES"/>
        </w:rPr>
        <w:t>Tomemos el estimador más bajo dado por los</w:t>
      </w:r>
      <w:r w:rsidR="00040AAE" w:rsidRPr="00AF274C">
        <w:rPr>
          <w:rFonts w:cs="Tahoma"/>
          <w:sz w:val="18"/>
          <w:szCs w:val="18"/>
          <w:lang w:val="es-ES"/>
        </w:rPr>
        <w:t xml:space="preserve"> </w:t>
      </w:r>
      <w:r w:rsidR="00AF274C">
        <w:rPr>
          <w:rFonts w:cs="Tahoma"/>
          <w:sz w:val="18"/>
          <w:szCs w:val="18"/>
          <w:lang w:val="es-ES"/>
        </w:rPr>
        <w:t>estudio</w:t>
      </w:r>
      <w:r w:rsidR="00040AAE" w:rsidRPr="00AF274C">
        <w:rPr>
          <w:rFonts w:cs="Tahoma"/>
          <w:sz w:val="18"/>
          <w:szCs w:val="18"/>
          <w:lang w:val="es-ES"/>
        </w:rPr>
        <w:t>s</w:t>
      </w:r>
      <w:r w:rsidR="006621F3" w:rsidRPr="00AF274C">
        <w:rPr>
          <w:rFonts w:cs="Tahoma"/>
          <w:sz w:val="18"/>
          <w:szCs w:val="18"/>
          <w:lang w:val="es-ES"/>
        </w:rPr>
        <w:t xml:space="preserve">, un </w:t>
      </w:r>
      <w:r w:rsidR="00AF274C">
        <w:rPr>
          <w:rFonts w:cs="Tahoma"/>
          <w:sz w:val="18"/>
          <w:szCs w:val="18"/>
          <w:lang w:val="es-ES"/>
        </w:rPr>
        <w:t>riesgo</w:t>
      </w:r>
      <w:r w:rsidR="006621F3" w:rsidRPr="00AF274C">
        <w:rPr>
          <w:rFonts w:cs="Tahoma"/>
          <w:sz w:val="18"/>
          <w:szCs w:val="18"/>
          <w:lang w:val="es-ES"/>
        </w:rPr>
        <w:t xml:space="preserve"> </w:t>
      </w:r>
      <w:r w:rsidR="00040AAE" w:rsidRPr="00AF274C">
        <w:rPr>
          <w:rFonts w:cs="Tahoma"/>
          <w:sz w:val="18"/>
          <w:szCs w:val="18"/>
          <w:lang w:val="es-ES"/>
        </w:rPr>
        <w:t xml:space="preserve">de </w:t>
      </w:r>
      <w:r w:rsidR="00AF274C">
        <w:rPr>
          <w:rFonts w:cs="Tahoma"/>
          <w:sz w:val="18"/>
          <w:szCs w:val="18"/>
          <w:lang w:val="es-ES"/>
        </w:rPr>
        <w:t>neumonía</w:t>
      </w:r>
      <w:r w:rsidR="00040AAE" w:rsidRPr="00AF274C">
        <w:rPr>
          <w:rFonts w:cs="Tahoma"/>
          <w:sz w:val="18"/>
          <w:szCs w:val="18"/>
          <w:lang w:val="es-ES"/>
        </w:rPr>
        <w:t xml:space="preserve"> </w:t>
      </w:r>
      <w:r w:rsidR="006621F3" w:rsidRPr="00AF274C">
        <w:rPr>
          <w:rFonts w:cs="Tahoma"/>
          <w:sz w:val="18"/>
          <w:szCs w:val="18"/>
          <w:lang w:val="es-ES"/>
        </w:rPr>
        <w:t>1,7</w:t>
      </w:r>
      <w:r w:rsidR="00040AAE" w:rsidRPr="00AF274C">
        <w:rPr>
          <w:rFonts w:cs="Tahoma"/>
          <w:sz w:val="18"/>
          <w:szCs w:val="18"/>
          <w:lang w:val="es-ES"/>
        </w:rPr>
        <w:t xml:space="preserve"> </w:t>
      </w:r>
      <w:r w:rsidR="00FA2E86">
        <w:rPr>
          <w:rFonts w:cs="Tahoma"/>
          <w:sz w:val="18"/>
          <w:szCs w:val="18"/>
          <w:lang w:val="es-ES"/>
        </w:rPr>
        <w:t>veces</w:t>
      </w:r>
      <w:r w:rsidR="00A10B54" w:rsidRPr="00AF274C">
        <w:rPr>
          <w:rFonts w:cs="Tahoma"/>
          <w:sz w:val="18"/>
          <w:szCs w:val="18"/>
          <w:lang w:val="es-ES"/>
        </w:rPr>
        <w:t xml:space="preserve"> </w:t>
      </w:r>
      <w:r>
        <w:rPr>
          <w:rFonts w:cs="Tahoma"/>
          <w:sz w:val="18"/>
          <w:szCs w:val="18"/>
          <w:lang w:val="es-ES"/>
        </w:rPr>
        <w:t>má</w:t>
      </w:r>
      <w:r w:rsidR="00040AAE" w:rsidRPr="00AF274C">
        <w:rPr>
          <w:rFonts w:cs="Tahoma"/>
          <w:sz w:val="18"/>
          <w:szCs w:val="18"/>
          <w:lang w:val="es-ES"/>
        </w:rPr>
        <w:t>s alt</w:t>
      </w:r>
      <w:r>
        <w:rPr>
          <w:rFonts w:cs="Tahoma"/>
          <w:sz w:val="18"/>
          <w:szCs w:val="18"/>
          <w:lang w:val="es-ES"/>
        </w:rPr>
        <w:t>o entre los</w:t>
      </w:r>
      <w:r w:rsidR="00A10B54" w:rsidRPr="00AF274C">
        <w:rPr>
          <w:rFonts w:cs="Tahoma"/>
          <w:sz w:val="18"/>
          <w:szCs w:val="18"/>
          <w:lang w:val="es-ES"/>
        </w:rPr>
        <w:t xml:space="preserve"> </w:t>
      </w:r>
      <w:r>
        <w:rPr>
          <w:rFonts w:cs="Tahoma"/>
          <w:sz w:val="18"/>
          <w:szCs w:val="18"/>
          <w:lang w:val="es-ES"/>
        </w:rPr>
        <w:t>consum</w:t>
      </w:r>
      <w:r w:rsidR="00A10B54" w:rsidRPr="00AF274C">
        <w:rPr>
          <w:rFonts w:cs="Tahoma"/>
          <w:sz w:val="18"/>
          <w:szCs w:val="18"/>
          <w:lang w:val="es-ES"/>
        </w:rPr>
        <w:t>idor</w:t>
      </w:r>
      <w:r>
        <w:rPr>
          <w:rFonts w:cs="Tahoma"/>
          <w:sz w:val="18"/>
          <w:szCs w:val="18"/>
          <w:lang w:val="es-ES"/>
        </w:rPr>
        <w:t xml:space="preserve">es de </w:t>
      </w:r>
      <w:r w:rsidR="00AF274C">
        <w:rPr>
          <w:rFonts w:cs="Tahoma"/>
          <w:sz w:val="18"/>
          <w:szCs w:val="18"/>
          <w:lang w:val="es-ES"/>
        </w:rPr>
        <w:t>antipsicóticos</w:t>
      </w:r>
      <w:r w:rsidR="00030617">
        <w:rPr>
          <w:rFonts w:cs="Tahoma"/>
          <w:sz w:val="18"/>
          <w:szCs w:val="18"/>
          <w:lang w:val="es-ES"/>
        </w:rPr>
        <w:t>:</w:t>
      </w:r>
      <w:r w:rsidR="006621F3" w:rsidRPr="00AF274C">
        <w:rPr>
          <w:rFonts w:cs="Tahoma"/>
          <w:sz w:val="18"/>
          <w:szCs w:val="18"/>
          <w:lang w:val="es-ES"/>
        </w:rPr>
        <w:t xml:space="preserve"> </w:t>
      </w:r>
    </w:p>
    <w:p w:rsidR="00FF022E" w:rsidRPr="00AF274C" w:rsidRDefault="002F0519" w:rsidP="00FF022E">
      <w:pPr>
        <w:ind w:left="850" w:hanging="142"/>
        <w:rPr>
          <w:rFonts w:cs="Tahoma"/>
          <w:sz w:val="16"/>
          <w:szCs w:val="16"/>
          <w:lang w:val="es-ES"/>
        </w:rPr>
      </w:pPr>
      <w:r>
        <w:rPr>
          <w:rFonts w:cs="Tahoma"/>
          <w:sz w:val="16"/>
          <w:szCs w:val="16"/>
          <w:lang w:val="es-ES"/>
        </w:rPr>
        <w:t>Si en las persona</w:t>
      </w:r>
      <w:r w:rsidR="000965F0">
        <w:rPr>
          <w:rFonts w:cs="Tahoma"/>
          <w:sz w:val="16"/>
          <w:szCs w:val="16"/>
          <w:lang w:val="es-ES"/>
        </w:rPr>
        <w:t>s que no los</w:t>
      </w:r>
      <w:r w:rsidR="00A10B54" w:rsidRPr="00AF274C">
        <w:rPr>
          <w:rFonts w:cs="Tahoma"/>
          <w:sz w:val="16"/>
          <w:szCs w:val="16"/>
          <w:lang w:val="es-ES"/>
        </w:rPr>
        <w:t xml:space="preserve"> re</w:t>
      </w:r>
      <w:r w:rsidR="000965F0">
        <w:rPr>
          <w:rFonts w:cs="Tahoma"/>
          <w:sz w:val="16"/>
          <w:szCs w:val="16"/>
          <w:lang w:val="es-ES"/>
        </w:rPr>
        <w:t>ci</w:t>
      </w:r>
      <w:r w:rsidR="00A10B54" w:rsidRPr="00AF274C">
        <w:rPr>
          <w:rFonts w:cs="Tahoma"/>
          <w:sz w:val="16"/>
          <w:szCs w:val="16"/>
          <w:lang w:val="es-ES"/>
        </w:rPr>
        <w:t>ben</w:t>
      </w:r>
      <w:r w:rsidR="006621F3" w:rsidRPr="00AF274C">
        <w:rPr>
          <w:rFonts w:cs="Tahoma"/>
          <w:sz w:val="16"/>
          <w:szCs w:val="16"/>
          <w:lang w:val="es-ES"/>
        </w:rPr>
        <w:t xml:space="preserve"> </w:t>
      </w:r>
      <w:r w:rsidR="006621F3" w:rsidRPr="00AF274C">
        <w:rPr>
          <w:rFonts w:cs="Tahoma"/>
          <w:b/>
          <w:sz w:val="16"/>
          <w:szCs w:val="16"/>
          <w:lang w:val="es-ES"/>
        </w:rPr>
        <w:t xml:space="preserve">la </w:t>
      </w:r>
      <w:r w:rsidR="00AF274C">
        <w:rPr>
          <w:rFonts w:cs="Tahoma"/>
          <w:b/>
          <w:sz w:val="16"/>
          <w:szCs w:val="16"/>
          <w:lang w:val="es-ES"/>
        </w:rPr>
        <w:t>incidencia</w:t>
      </w:r>
      <w:r w:rsidR="006621F3" w:rsidRPr="00AF274C">
        <w:rPr>
          <w:rFonts w:cs="Tahoma"/>
          <w:b/>
          <w:sz w:val="16"/>
          <w:szCs w:val="16"/>
          <w:lang w:val="es-ES"/>
        </w:rPr>
        <w:t xml:space="preserve"> anual de </w:t>
      </w:r>
      <w:r w:rsidR="00AF274C">
        <w:rPr>
          <w:rFonts w:cs="Tahoma"/>
          <w:b/>
          <w:sz w:val="16"/>
          <w:szCs w:val="16"/>
          <w:lang w:val="es-ES"/>
        </w:rPr>
        <w:t>neumonía</w:t>
      </w:r>
      <w:r w:rsidR="000965F0">
        <w:rPr>
          <w:rFonts w:cs="Tahoma"/>
          <w:b/>
          <w:sz w:val="16"/>
          <w:szCs w:val="16"/>
          <w:lang w:val="es-ES"/>
        </w:rPr>
        <w:t xml:space="preserve"> fuera</w:t>
      </w:r>
      <w:r w:rsidR="006621F3" w:rsidRPr="00AF274C">
        <w:rPr>
          <w:rFonts w:cs="Tahoma"/>
          <w:b/>
          <w:sz w:val="16"/>
          <w:szCs w:val="16"/>
          <w:lang w:val="es-ES"/>
        </w:rPr>
        <w:t xml:space="preserve"> de 10%</w:t>
      </w:r>
      <w:r w:rsidR="000965F0">
        <w:rPr>
          <w:rFonts w:cs="Tahoma"/>
          <w:sz w:val="16"/>
          <w:szCs w:val="16"/>
          <w:lang w:val="es-ES"/>
        </w:rPr>
        <w:t>, en los</w:t>
      </w:r>
      <w:r w:rsidR="006621F3" w:rsidRPr="00AF274C">
        <w:rPr>
          <w:rFonts w:cs="Tahoma"/>
          <w:sz w:val="16"/>
          <w:szCs w:val="16"/>
          <w:lang w:val="es-ES"/>
        </w:rPr>
        <w:t xml:space="preserve"> que re</w:t>
      </w:r>
      <w:r w:rsidR="000965F0">
        <w:rPr>
          <w:rFonts w:cs="Tahoma"/>
          <w:sz w:val="16"/>
          <w:szCs w:val="16"/>
          <w:lang w:val="es-ES"/>
        </w:rPr>
        <w:t>ci</w:t>
      </w:r>
      <w:r w:rsidR="006621F3" w:rsidRPr="00AF274C">
        <w:rPr>
          <w:rFonts w:cs="Tahoma"/>
          <w:sz w:val="16"/>
          <w:szCs w:val="16"/>
          <w:lang w:val="es-ES"/>
        </w:rPr>
        <w:t xml:space="preserve">ben </w:t>
      </w:r>
      <w:r w:rsidR="00AF274C">
        <w:rPr>
          <w:rFonts w:cs="Tahoma"/>
          <w:sz w:val="16"/>
          <w:szCs w:val="16"/>
          <w:lang w:val="es-ES"/>
        </w:rPr>
        <w:t>antipsicóticos</w:t>
      </w:r>
      <w:r w:rsidR="000965F0">
        <w:rPr>
          <w:rFonts w:cs="Tahoma"/>
          <w:sz w:val="16"/>
          <w:szCs w:val="16"/>
          <w:lang w:val="es-ES"/>
        </w:rPr>
        <w:t xml:space="preserve"> serí</w:t>
      </w:r>
      <w:r w:rsidR="006621F3" w:rsidRPr="00AF274C">
        <w:rPr>
          <w:rFonts w:cs="Tahoma"/>
          <w:sz w:val="16"/>
          <w:szCs w:val="16"/>
          <w:lang w:val="es-ES"/>
        </w:rPr>
        <w:t>a</w:t>
      </w:r>
      <w:r w:rsidR="000965F0">
        <w:rPr>
          <w:rFonts w:cs="Tahoma"/>
          <w:sz w:val="16"/>
          <w:szCs w:val="16"/>
          <w:lang w:val="es-ES"/>
        </w:rPr>
        <w:t xml:space="preserve"> de 17%, y habría 70 casos a</w:t>
      </w:r>
      <w:r w:rsidR="006621F3" w:rsidRPr="00AF274C">
        <w:rPr>
          <w:rFonts w:cs="Tahoma"/>
          <w:sz w:val="16"/>
          <w:szCs w:val="16"/>
          <w:lang w:val="es-ES"/>
        </w:rPr>
        <w:t>dicional</w:t>
      </w:r>
      <w:r w:rsidR="000965F0">
        <w:rPr>
          <w:rFonts w:cs="Tahoma"/>
          <w:sz w:val="16"/>
          <w:szCs w:val="16"/>
          <w:lang w:val="es-ES"/>
        </w:rPr>
        <w:t>e</w:t>
      </w:r>
      <w:r w:rsidR="006621F3" w:rsidRPr="00AF274C">
        <w:rPr>
          <w:rFonts w:cs="Tahoma"/>
          <w:sz w:val="16"/>
          <w:szCs w:val="16"/>
          <w:lang w:val="es-ES"/>
        </w:rPr>
        <w:t xml:space="preserve">s de </w:t>
      </w:r>
      <w:r w:rsidR="00AF274C">
        <w:rPr>
          <w:rFonts w:cs="Tahoma"/>
          <w:sz w:val="16"/>
          <w:szCs w:val="16"/>
          <w:lang w:val="es-ES"/>
        </w:rPr>
        <w:t>neumonía</w:t>
      </w:r>
      <w:r w:rsidR="006621F3" w:rsidRPr="00AF274C">
        <w:rPr>
          <w:rFonts w:cs="Tahoma"/>
          <w:sz w:val="16"/>
          <w:szCs w:val="16"/>
          <w:lang w:val="es-ES"/>
        </w:rPr>
        <w:t xml:space="preserve"> per cada 1</w:t>
      </w:r>
      <w:r w:rsidR="000965F0">
        <w:rPr>
          <w:rFonts w:cs="Tahoma"/>
          <w:sz w:val="16"/>
          <w:szCs w:val="16"/>
          <w:lang w:val="es-ES"/>
        </w:rPr>
        <w:t>.000 personas tratadas, atribui</w:t>
      </w:r>
      <w:r w:rsidR="006621F3" w:rsidRPr="00AF274C">
        <w:rPr>
          <w:rFonts w:cs="Tahoma"/>
          <w:sz w:val="16"/>
          <w:szCs w:val="16"/>
          <w:lang w:val="es-ES"/>
        </w:rPr>
        <w:t>bles a</w:t>
      </w:r>
      <w:r w:rsidR="000965F0">
        <w:rPr>
          <w:rFonts w:cs="Tahoma"/>
          <w:sz w:val="16"/>
          <w:szCs w:val="16"/>
          <w:lang w:val="es-ES"/>
        </w:rPr>
        <w:t xml:space="preserve"> </w:t>
      </w:r>
      <w:r w:rsidR="006621F3" w:rsidRPr="00AF274C">
        <w:rPr>
          <w:rFonts w:cs="Tahoma"/>
          <w:sz w:val="16"/>
          <w:szCs w:val="16"/>
          <w:lang w:val="es-ES"/>
        </w:rPr>
        <w:t>l</w:t>
      </w:r>
      <w:r w:rsidR="000965F0">
        <w:rPr>
          <w:rFonts w:cs="Tahoma"/>
          <w:sz w:val="16"/>
          <w:szCs w:val="16"/>
          <w:lang w:val="es-ES"/>
        </w:rPr>
        <w:t>o</w:t>
      </w:r>
      <w:r w:rsidR="006621F3" w:rsidRPr="00AF274C">
        <w:rPr>
          <w:rFonts w:cs="Tahoma"/>
          <w:sz w:val="16"/>
          <w:szCs w:val="16"/>
          <w:lang w:val="es-ES"/>
        </w:rPr>
        <w:t xml:space="preserve">s </w:t>
      </w:r>
      <w:r w:rsidR="00AF274C">
        <w:rPr>
          <w:rFonts w:cs="Tahoma"/>
          <w:sz w:val="16"/>
          <w:szCs w:val="16"/>
          <w:lang w:val="es-ES"/>
        </w:rPr>
        <w:t>antipsicóticos</w:t>
      </w:r>
      <w:r w:rsidR="00040AAE" w:rsidRPr="00AF274C">
        <w:rPr>
          <w:rFonts w:cs="Tahoma"/>
          <w:sz w:val="16"/>
          <w:szCs w:val="16"/>
          <w:lang w:val="es-ES"/>
        </w:rPr>
        <w:t xml:space="preserve"> (de 100 a 170)</w:t>
      </w:r>
      <w:r w:rsidR="006621F3" w:rsidRPr="00AF274C">
        <w:rPr>
          <w:rFonts w:cs="Tahoma"/>
          <w:sz w:val="16"/>
          <w:szCs w:val="16"/>
          <w:lang w:val="es-ES"/>
        </w:rPr>
        <w:t xml:space="preserve">. </w:t>
      </w:r>
    </w:p>
    <w:p w:rsidR="00FF022E" w:rsidRPr="00AF274C" w:rsidRDefault="006621F3" w:rsidP="00FF022E">
      <w:pPr>
        <w:ind w:left="850" w:hanging="142"/>
        <w:rPr>
          <w:rFonts w:cs="Tahoma"/>
          <w:sz w:val="16"/>
          <w:szCs w:val="16"/>
          <w:lang w:val="es-ES"/>
        </w:rPr>
      </w:pPr>
      <w:r w:rsidRPr="00AF274C">
        <w:rPr>
          <w:rFonts w:cs="Tahoma"/>
          <w:b/>
          <w:sz w:val="16"/>
          <w:szCs w:val="16"/>
          <w:lang w:val="es-ES"/>
        </w:rPr>
        <w:t xml:space="preserve">Si la </w:t>
      </w:r>
      <w:r w:rsidR="00AF274C">
        <w:rPr>
          <w:rFonts w:cs="Tahoma"/>
          <w:b/>
          <w:sz w:val="16"/>
          <w:szCs w:val="16"/>
          <w:lang w:val="es-ES"/>
        </w:rPr>
        <w:t>incidencia</w:t>
      </w:r>
      <w:r w:rsidR="00FA2E86">
        <w:rPr>
          <w:rFonts w:cs="Tahoma"/>
          <w:b/>
          <w:sz w:val="16"/>
          <w:szCs w:val="16"/>
          <w:lang w:val="es-ES"/>
        </w:rPr>
        <w:t xml:space="preserve"> anual fuera</w:t>
      </w:r>
      <w:r w:rsidRPr="00AF274C">
        <w:rPr>
          <w:rFonts w:cs="Tahoma"/>
          <w:b/>
          <w:sz w:val="16"/>
          <w:szCs w:val="16"/>
          <w:lang w:val="es-ES"/>
        </w:rPr>
        <w:t xml:space="preserve"> de 20%</w:t>
      </w:r>
      <w:r w:rsidR="00FA2E86">
        <w:rPr>
          <w:rFonts w:cs="Tahoma"/>
          <w:sz w:val="16"/>
          <w:szCs w:val="16"/>
          <w:lang w:val="es-ES"/>
        </w:rPr>
        <w:t>, el número de casos a</w:t>
      </w:r>
      <w:r w:rsidRPr="00AF274C">
        <w:rPr>
          <w:rFonts w:cs="Tahoma"/>
          <w:sz w:val="16"/>
          <w:szCs w:val="16"/>
          <w:lang w:val="es-ES"/>
        </w:rPr>
        <w:t>dicional</w:t>
      </w:r>
      <w:r w:rsidR="00FA2E86">
        <w:rPr>
          <w:rFonts w:cs="Tahoma"/>
          <w:sz w:val="16"/>
          <w:szCs w:val="16"/>
          <w:lang w:val="es-ES"/>
        </w:rPr>
        <w:t>es causado</w:t>
      </w:r>
      <w:r w:rsidR="000965F0">
        <w:rPr>
          <w:rFonts w:cs="Tahoma"/>
          <w:sz w:val="16"/>
          <w:szCs w:val="16"/>
          <w:lang w:val="es-ES"/>
        </w:rPr>
        <w:t>s por los</w:t>
      </w:r>
      <w:r w:rsidRPr="00AF274C">
        <w:rPr>
          <w:rFonts w:cs="Tahoma"/>
          <w:sz w:val="16"/>
          <w:szCs w:val="16"/>
          <w:lang w:val="es-ES"/>
        </w:rPr>
        <w:t xml:space="preserve"> </w:t>
      </w:r>
      <w:r w:rsidR="00AF274C">
        <w:rPr>
          <w:rFonts w:cs="Tahoma"/>
          <w:sz w:val="16"/>
          <w:szCs w:val="16"/>
          <w:lang w:val="es-ES"/>
        </w:rPr>
        <w:t>antipsicóticos</w:t>
      </w:r>
      <w:r w:rsidR="000965F0">
        <w:rPr>
          <w:rFonts w:cs="Tahoma"/>
          <w:sz w:val="16"/>
          <w:szCs w:val="16"/>
          <w:lang w:val="es-ES"/>
        </w:rPr>
        <w:t xml:space="preserve"> serí</w:t>
      </w:r>
      <w:r w:rsidRPr="00AF274C">
        <w:rPr>
          <w:rFonts w:cs="Tahoma"/>
          <w:sz w:val="16"/>
          <w:szCs w:val="16"/>
          <w:lang w:val="es-ES"/>
        </w:rPr>
        <w:t>a del doble, 140</w:t>
      </w:r>
      <w:r w:rsidR="00A10B54" w:rsidRPr="00AF274C">
        <w:rPr>
          <w:rFonts w:cs="Tahoma"/>
          <w:sz w:val="16"/>
          <w:szCs w:val="16"/>
          <w:lang w:val="es-ES"/>
        </w:rPr>
        <w:t xml:space="preserve"> (de 200 a 340)</w:t>
      </w:r>
      <w:r w:rsidR="0056603F" w:rsidRPr="00AF274C">
        <w:rPr>
          <w:rFonts w:cs="Tahoma"/>
          <w:sz w:val="16"/>
          <w:szCs w:val="16"/>
          <w:lang w:val="es-ES"/>
        </w:rPr>
        <w:t>.</w:t>
      </w:r>
      <w:r w:rsidR="00FF022E" w:rsidRPr="00AF274C">
        <w:rPr>
          <w:rFonts w:cs="Tahoma"/>
          <w:sz w:val="16"/>
          <w:szCs w:val="16"/>
          <w:lang w:val="es-ES"/>
        </w:rPr>
        <w:t xml:space="preserve"> </w:t>
      </w:r>
      <w:r w:rsidR="00FA2E86">
        <w:rPr>
          <w:rFonts w:cs="Tahoma"/>
          <w:b/>
          <w:sz w:val="16"/>
          <w:szCs w:val="16"/>
          <w:lang w:val="es-ES"/>
        </w:rPr>
        <w:t>Si fuera</w:t>
      </w:r>
      <w:r w:rsidR="00FF022E" w:rsidRPr="00AF274C">
        <w:rPr>
          <w:rFonts w:cs="Tahoma"/>
          <w:b/>
          <w:sz w:val="16"/>
          <w:szCs w:val="16"/>
          <w:lang w:val="es-ES"/>
        </w:rPr>
        <w:t xml:space="preserve"> de 50%</w:t>
      </w:r>
      <w:r w:rsidR="000965F0">
        <w:rPr>
          <w:rFonts w:cs="Tahoma"/>
          <w:sz w:val="16"/>
          <w:szCs w:val="16"/>
          <w:lang w:val="es-ES"/>
        </w:rPr>
        <w:t xml:space="preserve"> en las persona</w:t>
      </w:r>
      <w:r w:rsidR="00FF022E" w:rsidRPr="00AF274C">
        <w:rPr>
          <w:rFonts w:cs="Tahoma"/>
          <w:sz w:val="16"/>
          <w:szCs w:val="16"/>
          <w:lang w:val="es-ES"/>
        </w:rPr>
        <w:t>s que no re</w:t>
      </w:r>
      <w:r w:rsidR="00FA2E86">
        <w:rPr>
          <w:rFonts w:cs="Tahoma"/>
          <w:sz w:val="16"/>
          <w:szCs w:val="16"/>
          <w:lang w:val="es-ES"/>
        </w:rPr>
        <w:t>ci</w:t>
      </w:r>
      <w:r w:rsidR="00FF022E" w:rsidRPr="00AF274C">
        <w:rPr>
          <w:rFonts w:cs="Tahoma"/>
          <w:sz w:val="16"/>
          <w:szCs w:val="16"/>
          <w:lang w:val="es-ES"/>
        </w:rPr>
        <w:t xml:space="preserve">ben </w:t>
      </w:r>
      <w:r w:rsidR="00AF274C">
        <w:rPr>
          <w:rFonts w:cs="Tahoma"/>
          <w:sz w:val="16"/>
          <w:szCs w:val="16"/>
          <w:lang w:val="es-ES"/>
        </w:rPr>
        <w:t>antipsicóticos</w:t>
      </w:r>
      <w:r w:rsidR="00FF022E" w:rsidRPr="00AF274C">
        <w:rPr>
          <w:rFonts w:cs="Tahoma"/>
          <w:sz w:val="16"/>
          <w:szCs w:val="16"/>
          <w:lang w:val="es-ES"/>
        </w:rPr>
        <w:t xml:space="preserve"> </w:t>
      </w:r>
      <w:r w:rsidR="000965F0">
        <w:rPr>
          <w:rFonts w:cs="Tahoma"/>
          <w:sz w:val="16"/>
          <w:szCs w:val="16"/>
          <w:lang w:val="es-ES"/>
        </w:rPr>
        <w:t>(algo má</w:t>
      </w:r>
      <w:r w:rsidRPr="00AF274C">
        <w:rPr>
          <w:rFonts w:cs="Tahoma"/>
          <w:sz w:val="16"/>
          <w:szCs w:val="16"/>
          <w:lang w:val="es-ES"/>
        </w:rPr>
        <w:t xml:space="preserve">s </w:t>
      </w:r>
      <w:r w:rsidRPr="00AF274C">
        <w:rPr>
          <w:rFonts w:cs="Tahoma"/>
          <w:sz w:val="16"/>
          <w:szCs w:val="16"/>
          <w:lang w:val="es-ES"/>
        </w:rPr>
        <w:lastRenderedPageBreak/>
        <w:t>que plausible a</w:t>
      </w:r>
      <w:r w:rsidR="000965F0">
        <w:rPr>
          <w:rFonts w:cs="Tahoma"/>
          <w:sz w:val="16"/>
          <w:szCs w:val="16"/>
          <w:lang w:val="es-ES"/>
        </w:rPr>
        <w:t>hora mismo en un centro socio</w:t>
      </w:r>
      <w:r w:rsidR="00FF022E" w:rsidRPr="00AF274C">
        <w:rPr>
          <w:rFonts w:cs="Tahoma"/>
          <w:sz w:val="16"/>
          <w:szCs w:val="16"/>
          <w:lang w:val="es-ES"/>
        </w:rPr>
        <w:t>sanitari</w:t>
      </w:r>
      <w:r w:rsidR="000965F0">
        <w:rPr>
          <w:rFonts w:cs="Tahoma"/>
          <w:sz w:val="16"/>
          <w:szCs w:val="16"/>
          <w:lang w:val="es-ES"/>
        </w:rPr>
        <w:t>o</w:t>
      </w:r>
      <w:r w:rsidRPr="00AF274C">
        <w:rPr>
          <w:rFonts w:cs="Tahoma"/>
          <w:sz w:val="16"/>
          <w:szCs w:val="16"/>
          <w:lang w:val="es-ES"/>
        </w:rPr>
        <w:t xml:space="preserve">), </w:t>
      </w:r>
      <w:r w:rsidR="00FF022E" w:rsidRPr="00AF274C">
        <w:rPr>
          <w:rFonts w:cs="Tahoma"/>
          <w:sz w:val="16"/>
          <w:szCs w:val="16"/>
          <w:lang w:val="es-ES"/>
        </w:rPr>
        <w:t xml:space="preserve">la </w:t>
      </w:r>
      <w:r w:rsidR="00AF274C">
        <w:rPr>
          <w:rFonts w:cs="Tahoma"/>
          <w:sz w:val="16"/>
          <w:szCs w:val="16"/>
          <w:lang w:val="es-ES"/>
        </w:rPr>
        <w:t>incidencia</w:t>
      </w:r>
      <w:r w:rsidR="000965F0">
        <w:rPr>
          <w:rFonts w:cs="Tahoma"/>
          <w:sz w:val="16"/>
          <w:szCs w:val="16"/>
          <w:lang w:val="es-ES"/>
        </w:rPr>
        <w:t xml:space="preserve"> sería de 85% en los expuestos, y habría 350 casos má</w:t>
      </w:r>
      <w:r w:rsidRPr="00AF274C">
        <w:rPr>
          <w:rFonts w:cs="Tahoma"/>
          <w:sz w:val="16"/>
          <w:szCs w:val="16"/>
          <w:lang w:val="es-ES"/>
        </w:rPr>
        <w:t xml:space="preserve">s de </w:t>
      </w:r>
      <w:r w:rsidR="00AF274C">
        <w:rPr>
          <w:rFonts w:cs="Tahoma"/>
          <w:sz w:val="16"/>
          <w:szCs w:val="16"/>
          <w:lang w:val="es-ES"/>
        </w:rPr>
        <w:t>neumonía</w:t>
      </w:r>
      <w:r w:rsidRPr="00AF274C">
        <w:rPr>
          <w:rFonts w:cs="Tahoma"/>
          <w:sz w:val="16"/>
          <w:szCs w:val="16"/>
          <w:lang w:val="es-ES"/>
        </w:rPr>
        <w:t xml:space="preserve"> </w:t>
      </w:r>
      <w:r w:rsidR="000965F0">
        <w:rPr>
          <w:rFonts w:cs="Tahoma"/>
          <w:sz w:val="16"/>
          <w:szCs w:val="16"/>
          <w:lang w:val="es-ES"/>
        </w:rPr>
        <w:t>por cada 1.000 personas que reciban un antipsicó</w:t>
      </w:r>
      <w:r w:rsidRPr="00AF274C">
        <w:rPr>
          <w:rFonts w:cs="Tahoma"/>
          <w:sz w:val="16"/>
          <w:szCs w:val="16"/>
          <w:lang w:val="es-ES"/>
        </w:rPr>
        <w:t>tic</w:t>
      </w:r>
      <w:r w:rsidR="000965F0">
        <w:rPr>
          <w:rFonts w:cs="Tahoma"/>
          <w:sz w:val="16"/>
          <w:szCs w:val="16"/>
          <w:lang w:val="es-ES"/>
        </w:rPr>
        <w:t>o</w:t>
      </w:r>
      <w:r w:rsidR="00A10B54" w:rsidRPr="00AF274C">
        <w:rPr>
          <w:rFonts w:cs="Tahoma"/>
          <w:sz w:val="16"/>
          <w:szCs w:val="16"/>
          <w:lang w:val="es-ES"/>
        </w:rPr>
        <w:t xml:space="preserve"> (de 500 a 850)</w:t>
      </w:r>
      <w:r w:rsidRPr="00AF274C">
        <w:rPr>
          <w:rFonts w:cs="Tahoma"/>
          <w:sz w:val="16"/>
          <w:szCs w:val="16"/>
          <w:lang w:val="es-ES"/>
        </w:rPr>
        <w:t xml:space="preserve">. </w:t>
      </w:r>
    </w:p>
    <w:p w:rsidR="00CA56F6" w:rsidRPr="00AF274C" w:rsidRDefault="000965F0" w:rsidP="00FF022E">
      <w:pPr>
        <w:ind w:left="850" w:hanging="142"/>
        <w:rPr>
          <w:rFonts w:cs="Tahoma"/>
          <w:sz w:val="18"/>
          <w:szCs w:val="18"/>
          <w:lang w:val="es-ES"/>
        </w:rPr>
      </w:pPr>
      <w:r>
        <w:rPr>
          <w:rFonts w:cs="Tahoma"/>
          <w:sz w:val="16"/>
          <w:szCs w:val="16"/>
          <w:lang w:val="es-ES"/>
        </w:rPr>
        <w:t>En</w:t>
      </w:r>
      <w:r w:rsidR="00FF022E" w:rsidRPr="00AF274C">
        <w:rPr>
          <w:rFonts w:cs="Tahoma"/>
          <w:sz w:val="16"/>
          <w:szCs w:val="16"/>
          <w:lang w:val="es-ES"/>
        </w:rPr>
        <w:t xml:space="preserve"> </w:t>
      </w:r>
      <w:r w:rsidR="00AF274C">
        <w:rPr>
          <w:rFonts w:cs="Tahoma"/>
          <w:sz w:val="16"/>
          <w:szCs w:val="16"/>
          <w:lang w:val="es-ES"/>
        </w:rPr>
        <w:t>Cataluña</w:t>
      </w:r>
      <w:r w:rsidR="006621F3" w:rsidRPr="00AF274C">
        <w:rPr>
          <w:rFonts w:cs="Tahoma"/>
          <w:sz w:val="16"/>
          <w:szCs w:val="16"/>
          <w:lang w:val="es-ES"/>
        </w:rPr>
        <w:t xml:space="preserve"> un</w:t>
      </w:r>
      <w:r>
        <w:rPr>
          <w:rFonts w:cs="Tahoma"/>
          <w:sz w:val="16"/>
          <w:szCs w:val="16"/>
          <w:lang w:val="es-ES"/>
        </w:rPr>
        <w:t>a</w:t>
      </w:r>
      <w:r w:rsidR="006621F3" w:rsidRPr="00AF274C">
        <w:rPr>
          <w:rFonts w:cs="Tahoma"/>
          <w:sz w:val="16"/>
          <w:szCs w:val="16"/>
          <w:lang w:val="es-ES"/>
        </w:rPr>
        <w:t xml:space="preserve">s </w:t>
      </w:r>
      <w:r w:rsidR="00FF022E" w:rsidRPr="00AF274C">
        <w:rPr>
          <w:rFonts w:cs="Tahoma"/>
          <w:sz w:val="16"/>
          <w:szCs w:val="16"/>
          <w:lang w:val="es-ES"/>
        </w:rPr>
        <w:t>90.</w:t>
      </w:r>
      <w:r>
        <w:rPr>
          <w:rFonts w:cs="Tahoma"/>
          <w:sz w:val="16"/>
          <w:szCs w:val="16"/>
          <w:lang w:val="es-ES"/>
        </w:rPr>
        <w:t>000 persona</w:t>
      </w:r>
      <w:r w:rsidR="00FF022E" w:rsidRPr="00AF274C">
        <w:rPr>
          <w:rFonts w:cs="Tahoma"/>
          <w:sz w:val="16"/>
          <w:szCs w:val="16"/>
          <w:lang w:val="es-ES"/>
        </w:rPr>
        <w:t xml:space="preserve">s </w:t>
      </w:r>
      <w:r w:rsidR="00FA2E86">
        <w:rPr>
          <w:rFonts w:cs="Tahoma"/>
          <w:sz w:val="16"/>
          <w:szCs w:val="16"/>
          <w:lang w:val="es-ES"/>
        </w:rPr>
        <w:t>mayores de</w:t>
      </w:r>
      <w:r w:rsidR="00FF022E" w:rsidRPr="00AF274C">
        <w:rPr>
          <w:rFonts w:cs="Tahoma"/>
          <w:sz w:val="16"/>
          <w:szCs w:val="16"/>
          <w:lang w:val="es-ES"/>
        </w:rPr>
        <w:t xml:space="preserve"> 70 </w:t>
      </w:r>
      <w:r w:rsidR="00581206">
        <w:rPr>
          <w:rFonts w:cs="Tahoma"/>
          <w:sz w:val="16"/>
          <w:szCs w:val="16"/>
          <w:lang w:val="es-ES"/>
        </w:rPr>
        <w:t>años</w:t>
      </w:r>
      <w:r w:rsidR="00FF022E" w:rsidRPr="00AF274C">
        <w:rPr>
          <w:rFonts w:cs="Tahoma"/>
          <w:sz w:val="16"/>
          <w:szCs w:val="16"/>
          <w:lang w:val="es-ES"/>
        </w:rPr>
        <w:t xml:space="preserve"> </w:t>
      </w:r>
      <w:r w:rsidR="006621F3" w:rsidRPr="00AF274C">
        <w:rPr>
          <w:rFonts w:cs="Tahoma"/>
          <w:sz w:val="16"/>
          <w:szCs w:val="16"/>
          <w:lang w:val="es-ES"/>
        </w:rPr>
        <w:t>re</w:t>
      </w:r>
      <w:r>
        <w:rPr>
          <w:rFonts w:cs="Tahoma"/>
          <w:sz w:val="16"/>
          <w:szCs w:val="16"/>
          <w:lang w:val="es-ES"/>
        </w:rPr>
        <w:t>ci</w:t>
      </w:r>
      <w:r w:rsidR="006621F3" w:rsidRPr="00AF274C">
        <w:rPr>
          <w:rFonts w:cs="Tahoma"/>
          <w:sz w:val="16"/>
          <w:szCs w:val="16"/>
          <w:lang w:val="es-ES"/>
        </w:rPr>
        <w:t xml:space="preserve">ben </w:t>
      </w:r>
      <w:r w:rsidR="00AF274C">
        <w:rPr>
          <w:rFonts w:cs="Tahoma"/>
          <w:sz w:val="16"/>
          <w:szCs w:val="16"/>
          <w:lang w:val="es-ES"/>
        </w:rPr>
        <w:t>antipsicóticos</w:t>
      </w:r>
      <w:r>
        <w:rPr>
          <w:rFonts w:cs="Tahoma"/>
          <w:sz w:val="16"/>
          <w:szCs w:val="16"/>
          <w:lang w:val="es-ES"/>
        </w:rPr>
        <w:t xml:space="preserve"> (21.720 en residencias). Con</w:t>
      </w:r>
      <w:r w:rsidR="00FF022E" w:rsidRPr="00AF274C">
        <w:rPr>
          <w:rFonts w:cs="Tahoma"/>
          <w:sz w:val="16"/>
          <w:szCs w:val="16"/>
          <w:lang w:val="es-ES"/>
        </w:rPr>
        <w:t xml:space="preserve"> una </w:t>
      </w:r>
      <w:r w:rsidR="00AF274C">
        <w:rPr>
          <w:rFonts w:cs="Tahoma"/>
          <w:sz w:val="16"/>
          <w:szCs w:val="16"/>
          <w:lang w:val="es-ES"/>
        </w:rPr>
        <w:t>incidencia</w:t>
      </w:r>
      <w:r w:rsidR="00FF022E" w:rsidRPr="00AF274C">
        <w:rPr>
          <w:rFonts w:cs="Tahoma"/>
          <w:sz w:val="16"/>
          <w:szCs w:val="16"/>
          <w:lang w:val="es-ES"/>
        </w:rPr>
        <w:t xml:space="preserve"> </w:t>
      </w:r>
      <w:r w:rsidR="00040AAE" w:rsidRPr="00AF274C">
        <w:rPr>
          <w:rFonts w:cs="Tahoma"/>
          <w:sz w:val="16"/>
          <w:szCs w:val="16"/>
          <w:lang w:val="es-ES"/>
        </w:rPr>
        <w:t xml:space="preserve">de </w:t>
      </w:r>
      <w:r w:rsidR="00040AAE" w:rsidRPr="00AF274C">
        <w:rPr>
          <w:rFonts w:cs="Tahoma"/>
          <w:b/>
          <w:sz w:val="16"/>
          <w:szCs w:val="16"/>
          <w:lang w:val="es-ES"/>
        </w:rPr>
        <w:t>50%</w:t>
      </w:r>
      <w:r w:rsidR="00040AAE" w:rsidRPr="00AF274C">
        <w:rPr>
          <w:rFonts w:cs="Tahoma"/>
          <w:sz w:val="16"/>
          <w:szCs w:val="16"/>
          <w:lang w:val="es-ES"/>
        </w:rPr>
        <w:t xml:space="preserve"> </w:t>
      </w:r>
      <w:r>
        <w:rPr>
          <w:rFonts w:cs="Tahoma"/>
          <w:sz w:val="16"/>
          <w:szCs w:val="16"/>
          <w:lang w:val="es-ES"/>
        </w:rPr>
        <w:t>en los</w:t>
      </w:r>
      <w:r w:rsidR="00FF022E" w:rsidRPr="00AF274C">
        <w:rPr>
          <w:rFonts w:cs="Tahoma"/>
          <w:sz w:val="16"/>
          <w:szCs w:val="16"/>
          <w:lang w:val="es-ES"/>
        </w:rPr>
        <w:t xml:space="preserve"> no </w:t>
      </w:r>
      <w:r w:rsidR="00FA2E86">
        <w:rPr>
          <w:rFonts w:cs="Tahoma"/>
          <w:sz w:val="16"/>
          <w:szCs w:val="16"/>
          <w:lang w:val="es-ES"/>
        </w:rPr>
        <w:t>expuesto</w:t>
      </w:r>
      <w:r w:rsidR="00FF022E" w:rsidRPr="00AF274C">
        <w:rPr>
          <w:rFonts w:cs="Tahoma"/>
          <w:sz w:val="16"/>
          <w:szCs w:val="16"/>
          <w:lang w:val="es-ES"/>
        </w:rPr>
        <w:t xml:space="preserve">s, </w:t>
      </w:r>
      <w:r>
        <w:rPr>
          <w:rFonts w:cs="Tahoma"/>
          <w:b/>
          <w:sz w:val="16"/>
          <w:szCs w:val="16"/>
          <w:lang w:val="es-ES"/>
        </w:rPr>
        <w:t>en un año</w:t>
      </w:r>
      <w:r w:rsidR="00FF022E" w:rsidRPr="00AF274C">
        <w:rPr>
          <w:rFonts w:cs="Tahoma"/>
          <w:b/>
          <w:sz w:val="16"/>
          <w:szCs w:val="16"/>
          <w:lang w:val="es-ES"/>
        </w:rPr>
        <w:t xml:space="preserve"> el </w:t>
      </w:r>
      <w:r w:rsidR="00FA2E86">
        <w:rPr>
          <w:rFonts w:cs="Tahoma"/>
          <w:b/>
          <w:sz w:val="16"/>
          <w:szCs w:val="16"/>
          <w:lang w:val="es-ES"/>
        </w:rPr>
        <w:t>número</w:t>
      </w:r>
      <w:r>
        <w:rPr>
          <w:rFonts w:cs="Tahoma"/>
          <w:b/>
          <w:sz w:val="16"/>
          <w:szCs w:val="16"/>
          <w:lang w:val="es-ES"/>
        </w:rPr>
        <w:t xml:space="preserve"> de casos esperado</w:t>
      </w:r>
      <w:r w:rsidR="00FF022E" w:rsidRPr="00AF274C">
        <w:rPr>
          <w:rFonts w:cs="Tahoma"/>
          <w:b/>
          <w:sz w:val="16"/>
          <w:szCs w:val="16"/>
          <w:lang w:val="es-ES"/>
        </w:rPr>
        <w:t>s pa</w:t>
      </w:r>
      <w:r>
        <w:rPr>
          <w:rFonts w:cs="Tahoma"/>
          <w:b/>
          <w:sz w:val="16"/>
          <w:szCs w:val="16"/>
          <w:lang w:val="es-ES"/>
        </w:rPr>
        <w:t xml:space="preserve">saría de 45.000 a 76.500, es </w:t>
      </w:r>
      <w:r w:rsidR="00FF022E" w:rsidRPr="00AF274C">
        <w:rPr>
          <w:rFonts w:cs="Tahoma"/>
          <w:b/>
          <w:sz w:val="16"/>
          <w:szCs w:val="16"/>
          <w:lang w:val="es-ES"/>
        </w:rPr>
        <w:t>d</w:t>
      </w:r>
      <w:r>
        <w:rPr>
          <w:rFonts w:cs="Tahoma"/>
          <w:b/>
          <w:sz w:val="16"/>
          <w:szCs w:val="16"/>
          <w:lang w:val="es-ES"/>
        </w:rPr>
        <w:t>ecir que habrí</w:t>
      </w:r>
      <w:r w:rsidR="00FF022E" w:rsidRPr="00AF274C">
        <w:rPr>
          <w:rFonts w:cs="Tahoma"/>
          <w:b/>
          <w:sz w:val="16"/>
          <w:szCs w:val="16"/>
          <w:lang w:val="es-ES"/>
        </w:rPr>
        <w:t>a</w:t>
      </w:r>
      <w:r w:rsidR="00040AAE" w:rsidRPr="00AF274C">
        <w:rPr>
          <w:rFonts w:cs="Tahoma"/>
          <w:b/>
          <w:sz w:val="16"/>
          <w:szCs w:val="16"/>
          <w:lang w:val="es-ES"/>
        </w:rPr>
        <w:t xml:space="preserve"> 31.500 casos de </w:t>
      </w:r>
      <w:r w:rsidR="00AF274C">
        <w:rPr>
          <w:rFonts w:cs="Tahoma"/>
          <w:b/>
          <w:sz w:val="16"/>
          <w:szCs w:val="16"/>
          <w:lang w:val="es-ES"/>
        </w:rPr>
        <w:t>neumonía</w:t>
      </w:r>
      <w:r>
        <w:rPr>
          <w:rFonts w:cs="Tahoma"/>
          <w:b/>
          <w:sz w:val="16"/>
          <w:szCs w:val="16"/>
          <w:lang w:val="es-ES"/>
        </w:rPr>
        <w:t xml:space="preserve"> atribui</w:t>
      </w:r>
      <w:r w:rsidR="00040AAE" w:rsidRPr="00AF274C">
        <w:rPr>
          <w:rFonts w:cs="Tahoma"/>
          <w:b/>
          <w:sz w:val="16"/>
          <w:szCs w:val="16"/>
          <w:lang w:val="es-ES"/>
        </w:rPr>
        <w:t>bles a la prescripció</w:t>
      </w:r>
      <w:r>
        <w:rPr>
          <w:rFonts w:cs="Tahoma"/>
          <w:b/>
          <w:sz w:val="16"/>
          <w:szCs w:val="16"/>
          <w:lang w:val="es-ES"/>
        </w:rPr>
        <w:t xml:space="preserve">n de </w:t>
      </w:r>
      <w:r w:rsidR="00AF274C">
        <w:rPr>
          <w:rFonts w:cs="Tahoma"/>
          <w:b/>
          <w:sz w:val="16"/>
          <w:szCs w:val="16"/>
          <w:lang w:val="es-ES"/>
        </w:rPr>
        <w:t>antipsicóticos</w:t>
      </w:r>
      <w:r>
        <w:rPr>
          <w:rFonts w:cs="Tahoma"/>
          <w:b/>
          <w:sz w:val="16"/>
          <w:szCs w:val="16"/>
          <w:lang w:val="es-ES"/>
        </w:rPr>
        <w:t xml:space="preserve"> a personas mayores</w:t>
      </w:r>
      <w:r w:rsidR="00040AAE" w:rsidRPr="00AF274C">
        <w:rPr>
          <w:rFonts w:cs="Tahoma"/>
          <w:b/>
          <w:sz w:val="16"/>
          <w:szCs w:val="16"/>
          <w:lang w:val="es-ES"/>
        </w:rPr>
        <w:t>.</w:t>
      </w:r>
    </w:p>
    <w:p w:rsidR="005A45BD" w:rsidRPr="00AF274C" w:rsidRDefault="005A45BD" w:rsidP="00C4716E">
      <w:pPr>
        <w:ind w:left="426" w:hanging="142"/>
        <w:rPr>
          <w:sz w:val="18"/>
          <w:szCs w:val="18"/>
          <w:lang w:val="es-ES"/>
        </w:rPr>
      </w:pPr>
    </w:p>
    <w:p w:rsidR="00ED46C8" w:rsidRPr="00AF274C" w:rsidRDefault="000965F0" w:rsidP="00C4716E">
      <w:pPr>
        <w:ind w:left="426" w:hanging="142"/>
        <w:rPr>
          <w:rFonts w:cs="Tahoma"/>
          <w:noProof/>
          <w:lang w:val="es-ES"/>
        </w:rPr>
      </w:pPr>
      <w:r>
        <w:rPr>
          <w:sz w:val="18"/>
          <w:szCs w:val="18"/>
          <w:lang w:val="es-ES"/>
        </w:rPr>
        <w:t>Más de la mitad</w:t>
      </w:r>
      <w:r w:rsidR="00ED46C8" w:rsidRPr="00AF274C">
        <w:rPr>
          <w:sz w:val="18"/>
          <w:szCs w:val="18"/>
          <w:lang w:val="es-ES"/>
        </w:rPr>
        <w:t xml:space="preserve"> de</w:t>
      </w:r>
      <w:r>
        <w:rPr>
          <w:sz w:val="18"/>
          <w:szCs w:val="18"/>
          <w:lang w:val="es-ES"/>
        </w:rPr>
        <w:t xml:space="preserve"> </w:t>
      </w:r>
      <w:r w:rsidR="00ED46C8" w:rsidRPr="00AF274C">
        <w:rPr>
          <w:sz w:val="18"/>
          <w:szCs w:val="18"/>
          <w:lang w:val="es-ES"/>
        </w:rPr>
        <w:t>l</w:t>
      </w:r>
      <w:r>
        <w:rPr>
          <w:sz w:val="18"/>
          <w:szCs w:val="18"/>
          <w:lang w:val="es-ES"/>
        </w:rPr>
        <w:t>o</w:t>
      </w:r>
      <w:r w:rsidR="00ED46C8" w:rsidRPr="00AF274C">
        <w:rPr>
          <w:sz w:val="18"/>
          <w:szCs w:val="18"/>
          <w:lang w:val="es-ES"/>
        </w:rPr>
        <w:t xml:space="preserve">s </w:t>
      </w:r>
      <w:r w:rsidR="00AF274C">
        <w:rPr>
          <w:sz w:val="18"/>
          <w:szCs w:val="18"/>
          <w:lang w:val="es-ES"/>
        </w:rPr>
        <w:t>antipsicóticos</w:t>
      </w:r>
      <w:r w:rsidR="00C4716E" w:rsidRPr="00AF274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son prescritos a personas de edad avanzada</w:t>
      </w:r>
      <w:r w:rsidR="00C4716E" w:rsidRPr="00AF274C">
        <w:rPr>
          <w:sz w:val="18"/>
          <w:szCs w:val="18"/>
          <w:lang w:val="es-ES"/>
        </w:rPr>
        <w:t xml:space="preserve"> </w:t>
      </w:r>
      <w:r w:rsidR="00ED46C8" w:rsidRPr="00AF274C">
        <w:rPr>
          <w:sz w:val="18"/>
          <w:szCs w:val="18"/>
          <w:lang w:val="es-ES"/>
        </w:rPr>
        <w:t>en indicacion</w:t>
      </w:r>
      <w:r w:rsidR="00FA2E86">
        <w:rPr>
          <w:sz w:val="18"/>
          <w:szCs w:val="18"/>
          <w:lang w:val="es-ES"/>
        </w:rPr>
        <w:t>e</w:t>
      </w:r>
      <w:r w:rsidR="00ED46C8" w:rsidRPr="00AF274C">
        <w:rPr>
          <w:sz w:val="18"/>
          <w:szCs w:val="18"/>
          <w:lang w:val="es-ES"/>
        </w:rPr>
        <w:t xml:space="preserve">s </w:t>
      </w:r>
      <w:r w:rsidR="00C4716E" w:rsidRPr="00AF274C">
        <w:rPr>
          <w:sz w:val="18"/>
          <w:szCs w:val="18"/>
          <w:lang w:val="es-ES"/>
        </w:rPr>
        <w:t xml:space="preserve">no </w:t>
      </w:r>
      <w:r w:rsidR="00FA2E86">
        <w:rPr>
          <w:sz w:val="18"/>
          <w:szCs w:val="18"/>
          <w:lang w:val="es-ES"/>
        </w:rPr>
        <w:t>autori</w:t>
      </w:r>
      <w:r>
        <w:rPr>
          <w:sz w:val="18"/>
          <w:szCs w:val="18"/>
          <w:lang w:val="es-ES"/>
        </w:rPr>
        <w:t>zada</w:t>
      </w:r>
      <w:r w:rsidR="00ED46C8" w:rsidRPr="00AF274C">
        <w:rPr>
          <w:sz w:val="18"/>
          <w:szCs w:val="18"/>
          <w:lang w:val="es-ES"/>
        </w:rPr>
        <w:t>s</w:t>
      </w:r>
      <w:r w:rsidR="00030617">
        <w:rPr>
          <w:sz w:val="18"/>
          <w:szCs w:val="18"/>
          <w:lang w:val="es-ES"/>
        </w:rPr>
        <w:t xml:space="preserve"> por la</w:t>
      </w:r>
      <w:r>
        <w:rPr>
          <w:sz w:val="18"/>
          <w:szCs w:val="18"/>
          <w:lang w:val="es-ES"/>
        </w:rPr>
        <w:t>s agencia</w:t>
      </w:r>
      <w:r w:rsidR="00030617">
        <w:rPr>
          <w:sz w:val="18"/>
          <w:szCs w:val="18"/>
          <w:lang w:val="es-ES"/>
        </w:rPr>
        <w:t>s reguladora</w:t>
      </w:r>
      <w:r w:rsidR="00C4716E" w:rsidRPr="00AF274C">
        <w:rPr>
          <w:sz w:val="18"/>
          <w:szCs w:val="18"/>
          <w:lang w:val="es-ES"/>
        </w:rPr>
        <w:t>s</w:t>
      </w:r>
      <w:r w:rsidR="00ED46C8" w:rsidRPr="00AF274C">
        <w:rPr>
          <w:sz w:val="18"/>
          <w:szCs w:val="18"/>
          <w:lang w:val="es-ES"/>
        </w:rPr>
        <w:t xml:space="preserve">, </w:t>
      </w:r>
      <w:r w:rsidR="00D63E78">
        <w:rPr>
          <w:sz w:val="18"/>
          <w:szCs w:val="18"/>
          <w:lang w:val="es-ES"/>
        </w:rPr>
        <w:t>en dosis inadec</w:t>
      </w:r>
      <w:r>
        <w:rPr>
          <w:sz w:val="18"/>
          <w:szCs w:val="18"/>
          <w:lang w:val="es-ES"/>
        </w:rPr>
        <w:t>uada</w:t>
      </w:r>
      <w:r w:rsidR="00AA4374" w:rsidRPr="00AF274C">
        <w:rPr>
          <w:sz w:val="18"/>
          <w:szCs w:val="18"/>
          <w:lang w:val="es-ES"/>
        </w:rPr>
        <w:t xml:space="preserve">s o </w:t>
      </w:r>
      <w:r w:rsidR="009554AA" w:rsidRPr="00AF274C">
        <w:rPr>
          <w:sz w:val="18"/>
          <w:szCs w:val="18"/>
          <w:lang w:val="es-ES"/>
        </w:rPr>
        <w:t>durant</w:t>
      </w:r>
      <w:r>
        <w:rPr>
          <w:sz w:val="18"/>
          <w:szCs w:val="18"/>
          <w:lang w:val="es-ES"/>
        </w:rPr>
        <w:t>e períodos exce</w:t>
      </w:r>
      <w:r w:rsidR="009554AA" w:rsidRPr="00AF274C">
        <w:rPr>
          <w:sz w:val="18"/>
          <w:szCs w:val="18"/>
          <w:lang w:val="es-ES"/>
        </w:rPr>
        <w:t>sivament</w:t>
      </w:r>
      <w:r w:rsidR="00FA2E86">
        <w:rPr>
          <w:sz w:val="18"/>
          <w:szCs w:val="18"/>
          <w:lang w:val="es-ES"/>
        </w:rPr>
        <w:t>e</w:t>
      </w:r>
      <w:r>
        <w:rPr>
          <w:sz w:val="18"/>
          <w:szCs w:val="18"/>
          <w:lang w:val="es-ES"/>
        </w:rPr>
        <w:t xml:space="preserve"> l</w:t>
      </w:r>
      <w:r w:rsidR="009554AA" w:rsidRPr="00AF274C">
        <w:rPr>
          <w:sz w:val="18"/>
          <w:szCs w:val="18"/>
          <w:lang w:val="es-ES"/>
        </w:rPr>
        <w:t>arg</w:t>
      </w:r>
      <w:r>
        <w:rPr>
          <w:sz w:val="18"/>
          <w:szCs w:val="18"/>
          <w:lang w:val="es-ES"/>
        </w:rPr>
        <w:t>o</w:t>
      </w:r>
      <w:r w:rsidR="009554AA" w:rsidRPr="00AF274C">
        <w:rPr>
          <w:sz w:val="18"/>
          <w:szCs w:val="18"/>
          <w:lang w:val="es-ES"/>
        </w:rPr>
        <w:t>s</w:t>
      </w:r>
      <w:r w:rsidR="00ED46C8" w:rsidRPr="00AF274C">
        <w:rPr>
          <w:sz w:val="18"/>
          <w:szCs w:val="18"/>
          <w:lang w:val="es-ES"/>
        </w:rPr>
        <w:t>.</w:t>
      </w:r>
      <w:r w:rsidR="00ED46C8" w:rsidRPr="00AF274C">
        <w:rPr>
          <w:rStyle w:val="Refdenotaalfinal"/>
          <w:sz w:val="18"/>
          <w:szCs w:val="18"/>
          <w:lang w:val="es-ES"/>
        </w:rPr>
        <w:endnoteReference w:id="10"/>
      </w:r>
      <w:r w:rsidR="00ED46C8" w:rsidRPr="00AF274C">
        <w:rPr>
          <w:sz w:val="18"/>
          <w:szCs w:val="18"/>
          <w:vertAlign w:val="superscript"/>
          <w:lang w:val="es-ES"/>
        </w:rPr>
        <w:t>,</w:t>
      </w:r>
      <w:r w:rsidR="00ED46C8" w:rsidRPr="00AF274C">
        <w:rPr>
          <w:rStyle w:val="Refdenotaalfinal"/>
          <w:sz w:val="18"/>
          <w:szCs w:val="18"/>
          <w:lang w:val="es-ES"/>
        </w:rPr>
        <w:endnoteReference w:id="11"/>
      </w:r>
      <w:r w:rsidR="00ED46C8" w:rsidRPr="00AF274C">
        <w:rPr>
          <w:sz w:val="18"/>
          <w:szCs w:val="18"/>
          <w:vertAlign w:val="superscript"/>
          <w:lang w:val="es-ES"/>
        </w:rPr>
        <w:t>,</w:t>
      </w:r>
      <w:r w:rsidR="00ED46C8" w:rsidRPr="00AF274C">
        <w:rPr>
          <w:rStyle w:val="Refdenotaalfinal"/>
          <w:sz w:val="18"/>
          <w:szCs w:val="18"/>
          <w:lang w:val="es-ES"/>
        </w:rPr>
        <w:endnoteReference w:id="12"/>
      </w:r>
      <w:r w:rsidR="00ED46C8" w:rsidRPr="00AF274C">
        <w:rPr>
          <w:sz w:val="18"/>
          <w:szCs w:val="18"/>
          <w:vertAlign w:val="superscript"/>
          <w:lang w:val="es-ES"/>
        </w:rPr>
        <w:t>,</w:t>
      </w:r>
      <w:r w:rsidR="00ED46C8" w:rsidRPr="00AF274C">
        <w:rPr>
          <w:rStyle w:val="Refdenotaalfinal"/>
          <w:sz w:val="18"/>
          <w:szCs w:val="18"/>
          <w:lang w:val="es-ES"/>
        </w:rPr>
        <w:endnoteReference w:id="13"/>
      </w:r>
      <w:r w:rsidR="00ED46C8" w:rsidRPr="00AF274C">
        <w:rPr>
          <w:sz w:val="18"/>
          <w:szCs w:val="18"/>
          <w:vertAlign w:val="superscript"/>
          <w:lang w:val="es-ES"/>
        </w:rPr>
        <w:t xml:space="preserve"> </w:t>
      </w:r>
      <w:r w:rsidR="00ED46C8" w:rsidRPr="00AF274C">
        <w:rPr>
          <w:sz w:val="18"/>
          <w:szCs w:val="18"/>
          <w:lang w:val="es-ES"/>
        </w:rPr>
        <w:t xml:space="preserve">En </w:t>
      </w:r>
      <w:r w:rsidR="00AF274C">
        <w:rPr>
          <w:sz w:val="18"/>
          <w:szCs w:val="18"/>
          <w:lang w:val="es-ES"/>
        </w:rPr>
        <w:t>estas</w:t>
      </w:r>
      <w:r w:rsidR="00ED46C8" w:rsidRPr="00AF274C">
        <w:rPr>
          <w:sz w:val="18"/>
          <w:szCs w:val="18"/>
          <w:lang w:val="es-ES"/>
        </w:rPr>
        <w:t xml:space="preserve"> situaci</w:t>
      </w:r>
      <w:r>
        <w:rPr>
          <w:sz w:val="18"/>
          <w:szCs w:val="18"/>
          <w:lang w:val="es-ES"/>
        </w:rPr>
        <w:t xml:space="preserve">ones no hay pruebas de </w:t>
      </w:r>
      <w:r w:rsidR="00ED46C8" w:rsidRPr="00AF274C">
        <w:rPr>
          <w:sz w:val="18"/>
          <w:szCs w:val="18"/>
          <w:lang w:val="es-ES"/>
        </w:rPr>
        <w:t>efec</w:t>
      </w:r>
      <w:r>
        <w:rPr>
          <w:sz w:val="18"/>
          <w:szCs w:val="18"/>
          <w:lang w:val="es-ES"/>
        </w:rPr>
        <w:t xml:space="preserve">tos beneficiosos mientras que los </w:t>
      </w:r>
      <w:r w:rsidR="00FA2E86">
        <w:rPr>
          <w:sz w:val="18"/>
          <w:szCs w:val="18"/>
          <w:lang w:val="es-ES"/>
        </w:rPr>
        <w:t>riesgos</w:t>
      </w:r>
      <w:r>
        <w:rPr>
          <w:sz w:val="18"/>
          <w:szCs w:val="18"/>
          <w:lang w:val="es-ES"/>
        </w:rPr>
        <w:t xml:space="preserve"> son evidentes, en términos de mala calidad</w:t>
      </w:r>
      <w:r w:rsidR="00ED46C8" w:rsidRPr="00AF274C">
        <w:rPr>
          <w:sz w:val="18"/>
          <w:szCs w:val="18"/>
          <w:lang w:val="es-ES"/>
        </w:rPr>
        <w:t xml:space="preserve"> de vida, </w:t>
      </w:r>
      <w:r w:rsidR="00AF274C">
        <w:rPr>
          <w:sz w:val="18"/>
          <w:szCs w:val="18"/>
          <w:lang w:val="es-ES"/>
        </w:rPr>
        <w:t>enfermedad</w:t>
      </w:r>
      <w:r>
        <w:rPr>
          <w:sz w:val="18"/>
          <w:szCs w:val="18"/>
          <w:lang w:val="es-ES"/>
        </w:rPr>
        <w:t xml:space="preserve"> y mortalidad</w:t>
      </w:r>
      <w:r w:rsidR="00ED46C8" w:rsidRPr="00AF274C">
        <w:rPr>
          <w:sz w:val="18"/>
          <w:szCs w:val="18"/>
          <w:lang w:val="es-ES"/>
        </w:rPr>
        <w:t>.</w:t>
      </w:r>
    </w:p>
    <w:p w:rsidR="00ED46C8" w:rsidRPr="00AF274C" w:rsidRDefault="00ED46C8" w:rsidP="00ED46C8">
      <w:pPr>
        <w:ind w:left="567" w:hanging="141"/>
        <w:rPr>
          <w:rFonts w:cs="Tahoma"/>
          <w:sz w:val="20"/>
          <w:szCs w:val="20"/>
          <w:lang w:val="es-ES"/>
        </w:rPr>
      </w:pPr>
    </w:p>
    <w:p w:rsidR="00C91ABB" w:rsidRPr="00AF274C" w:rsidRDefault="00C91ABB" w:rsidP="00C4716E">
      <w:pPr>
        <w:ind w:left="426" w:hanging="142"/>
        <w:rPr>
          <w:rFonts w:cs="Tahoma"/>
          <w:sz w:val="18"/>
          <w:szCs w:val="18"/>
          <w:lang w:val="es-ES"/>
        </w:rPr>
      </w:pPr>
      <w:r w:rsidRPr="00AF274C">
        <w:rPr>
          <w:rFonts w:cs="Tahoma"/>
          <w:sz w:val="18"/>
          <w:szCs w:val="18"/>
          <w:lang w:val="es-ES"/>
        </w:rPr>
        <w:t xml:space="preserve">El </w:t>
      </w:r>
      <w:r w:rsidR="00AF274C">
        <w:rPr>
          <w:rFonts w:cs="Tahoma"/>
          <w:sz w:val="18"/>
          <w:szCs w:val="18"/>
          <w:lang w:val="es-ES"/>
        </w:rPr>
        <w:t>riesgo</w:t>
      </w:r>
      <w:r w:rsidRPr="00AF274C">
        <w:rPr>
          <w:rFonts w:cs="Tahoma"/>
          <w:sz w:val="18"/>
          <w:szCs w:val="18"/>
          <w:lang w:val="es-ES"/>
        </w:rPr>
        <w:t xml:space="preserve"> de </w:t>
      </w:r>
      <w:r w:rsidR="00AF274C">
        <w:rPr>
          <w:rFonts w:cs="Tahoma"/>
          <w:sz w:val="18"/>
          <w:szCs w:val="18"/>
          <w:lang w:val="es-ES"/>
        </w:rPr>
        <w:t>neumonía</w:t>
      </w:r>
      <w:r w:rsidR="0056603F" w:rsidRPr="00AF274C">
        <w:rPr>
          <w:rFonts w:cs="Tahoma"/>
          <w:sz w:val="18"/>
          <w:szCs w:val="18"/>
          <w:lang w:val="es-ES"/>
        </w:rPr>
        <w:t xml:space="preserve"> </w:t>
      </w:r>
      <w:r w:rsidR="000965F0">
        <w:rPr>
          <w:rFonts w:cs="Tahoma"/>
          <w:sz w:val="18"/>
          <w:szCs w:val="18"/>
          <w:lang w:val="es-ES"/>
        </w:rPr>
        <w:t>conferido por los</w:t>
      </w:r>
      <w:r w:rsidRPr="00AF274C">
        <w:rPr>
          <w:rFonts w:cs="Tahoma"/>
          <w:sz w:val="18"/>
          <w:szCs w:val="18"/>
          <w:lang w:val="es-ES"/>
        </w:rPr>
        <w:t xml:space="preserve"> </w:t>
      </w:r>
      <w:r w:rsidR="00AF274C">
        <w:rPr>
          <w:rFonts w:cs="Tahoma"/>
          <w:sz w:val="18"/>
          <w:szCs w:val="18"/>
          <w:lang w:val="es-ES"/>
        </w:rPr>
        <w:t>antipsicóticos</w:t>
      </w:r>
      <w:r w:rsidR="000965F0">
        <w:rPr>
          <w:rFonts w:cs="Tahoma"/>
          <w:sz w:val="18"/>
          <w:szCs w:val="18"/>
          <w:lang w:val="es-ES"/>
        </w:rPr>
        <w:t xml:space="preserve"> ha sido atribuido</w:t>
      </w:r>
      <w:r w:rsidRPr="00AF274C">
        <w:rPr>
          <w:rFonts w:cs="Tahoma"/>
          <w:sz w:val="18"/>
          <w:szCs w:val="18"/>
          <w:lang w:val="es-ES"/>
        </w:rPr>
        <w:t xml:space="preserve"> a</w:t>
      </w:r>
      <w:r w:rsidR="000965F0">
        <w:rPr>
          <w:rFonts w:cs="Tahoma"/>
          <w:sz w:val="18"/>
          <w:szCs w:val="18"/>
          <w:lang w:val="es-ES"/>
        </w:rPr>
        <w:t xml:space="preserve"> sus efecto</w:t>
      </w:r>
      <w:r w:rsidRPr="00AF274C">
        <w:rPr>
          <w:rFonts w:cs="Tahoma"/>
          <w:sz w:val="18"/>
          <w:szCs w:val="18"/>
          <w:lang w:val="es-ES"/>
        </w:rPr>
        <w:t>s extrapiramidal</w:t>
      </w:r>
      <w:r w:rsidR="00FA2E86">
        <w:rPr>
          <w:rFonts w:cs="Tahoma"/>
          <w:sz w:val="18"/>
          <w:szCs w:val="18"/>
          <w:lang w:val="es-ES"/>
        </w:rPr>
        <w:t>e</w:t>
      </w:r>
      <w:r w:rsidR="000965F0">
        <w:rPr>
          <w:rFonts w:cs="Tahoma"/>
          <w:sz w:val="18"/>
          <w:szCs w:val="18"/>
          <w:lang w:val="es-ES"/>
        </w:rPr>
        <w:t>s, pero parecen ser má</w:t>
      </w:r>
      <w:r w:rsidRPr="00AF274C">
        <w:rPr>
          <w:rFonts w:cs="Tahoma"/>
          <w:sz w:val="18"/>
          <w:szCs w:val="18"/>
          <w:lang w:val="es-ES"/>
        </w:rPr>
        <w:t>s important</w:t>
      </w:r>
      <w:r w:rsidR="000965F0">
        <w:rPr>
          <w:rFonts w:cs="Tahoma"/>
          <w:sz w:val="18"/>
          <w:szCs w:val="18"/>
          <w:lang w:val="es-ES"/>
        </w:rPr>
        <w:t>e</w:t>
      </w:r>
      <w:r w:rsidRPr="00AF274C">
        <w:rPr>
          <w:rFonts w:cs="Tahoma"/>
          <w:sz w:val="18"/>
          <w:szCs w:val="18"/>
          <w:lang w:val="es-ES"/>
        </w:rPr>
        <w:t>s la sedació</w:t>
      </w:r>
      <w:r w:rsidR="000965F0">
        <w:rPr>
          <w:rFonts w:cs="Tahoma"/>
          <w:sz w:val="18"/>
          <w:szCs w:val="18"/>
          <w:lang w:val="es-ES"/>
        </w:rPr>
        <w:t>n que produc</w:t>
      </w:r>
      <w:r w:rsidRPr="00AF274C">
        <w:rPr>
          <w:rFonts w:cs="Tahoma"/>
          <w:sz w:val="18"/>
          <w:szCs w:val="18"/>
          <w:lang w:val="es-ES"/>
        </w:rPr>
        <w:t>en</w:t>
      </w:r>
      <w:r w:rsidR="000965F0">
        <w:rPr>
          <w:rFonts w:cs="Tahoma"/>
          <w:sz w:val="18"/>
          <w:szCs w:val="18"/>
          <w:lang w:val="es-ES"/>
        </w:rPr>
        <w:t xml:space="preserve"> (y</w:t>
      </w:r>
      <w:r w:rsidR="0056603F" w:rsidRPr="00AF274C">
        <w:rPr>
          <w:rFonts w:cs="Tahoma"/>
          <w:sz w:val="18"/>
          <w:szCs w:val="18"/>
          <w:lang w:val="es-ES"/>
        </w:rPr>
        <w:t xml:space="preserve"> menor ventilació</w:t>
      </w:r>
      <w:r w:rsidR="000965F0">
        <w:rPr>
          <w:rFonts w:cs="Tahoma"/>
          <w:sz w:val="18"/>
          <w:szCs w:val="18"/>
          <w:lang w:val="es-ES"/>
        </w:rPr>
        <w:t>n</w:t>
      </w:r>
      <w:r w:rsidR="0056603F" w:rsidRPr="00AF274C">
        <w:rPr>
          <w:rFonts w:cs="Tahoma"/>
          <w:sz w:val="18"/>
          <w:szCs w:val="18"/>
          <w:lang w:val="es-ES"/>
        </w:rPr>
        <w:t xml:space="preserve"> pulmonar)</w:t>
      </w:r>
      <w:r w:rsidR="000965F0">
        <w:rPr>
          <w:rFonts w:cs="Tahoma"/>
          <w:sz w:val="18"/>
          <w:szCs w:val="18"/>
          <w:lang w:val="es-ES"/>
        </w:rPr>
        <w:t xml:space="preserve"> y</w:t>
      </w:r>
      <w:r w:rsidRPr="00AF274C">
        <w:rPr>
          <w:rFonts w:cs="Tahoma"/>
          <w:sz w:val="18"/>
          <w:szCs w:val="18"/>
          <w:lang w:val="es-ES"/>
        </w:rPr>
        <w:t xml:space="preserve"> </w:t>
      </w:r>
      <w:r w:rsidR="0056603F" w:rsidRPr="00AF274C">
        <w:rPr>
          <w:rFonts w:cs="Tahoma"/>
          <w:sz w:val="18"/>
          <w:szCs w:val="18"/>
          <w:lang w:val="es-ES"/>
        </w:rPr>
        <w:t>tamb</w:t>
      </w:r>
      <w:r w:rsidR="000965F0">
        <w:rPr>
          <w:rFonts w:cs="Tahoma"/>
          <w:sz w:val="18"/>
          <w:szCs w:val="18"/>
          <w:lang w:val="es-ES"/>
        </w:rPr>
        <w:t>i</w:t>
      </w:r>
      <w:r w:rsidR="0056603F" w:rsidRPr="00AF274C">
        <w:rPr>
          <w:rFonts w:cs="Tahoma"/>
          <w:sz w:val="18"/>
          <w:szCs w:val="18"/>
          <w:lang w:val="es-ES"/>
        </w:rPr>
        <w:t>é</w:t>
      </w:r>
      <w:r w:rsidR="000965F0">
        <w:rPr>
          <w:rFonts w:cs="Tahoma"/>
          <w:sz w:val="18"/>
          <w:szCs w:val="18"/>
          <w:lang w:val="es-ES"/>
        </w:rPr>
        <w:t>n</w:t>
      </w:r>
      <w:r w:rsidR="0056603F" w:rsidRPr="00AF274C">
        <w:rPr>
          <w:rFonts w:cs="Tahoma"/>
          <w:sz w:val="18"/>
          <w:szCs w:val="18"/>
          <w:lang w:val="es-ES"/>
        </w:rPr>
        <w:t xml:space="preserve"> </w:t>
      </w:r>
      <w:r w:rsidR="000965F0">
        <w:rPr>
          <w:rFonts w:cs="Tahoma"/>
          <w:sz w:val="18"/>
          <w:szCs w:val="18"/>
          <w:lang w:val="es-ES"/>
        </w:rPr>
        <w:t>sus efectos sobre la inmunidad</w:t>
      </w:r>
      <w:r w:rsidRPr="00AF274C">
        <w:rPr>
          <w:rFonts w:cs="Tahoma"/>
          <w:sz w:val="18"/>
          <w:szCs w:val="18"/>
          <w:lang w:val="es-ES"/>
        </w:rPr>
        <w:t>.</w:t>
      </w:r>
    </w:p>
    <w:p w:rsidR="0045556B" w:rsidRPr="00AF274C" w:rsidRDefault="0045556B" w:rsidP="0045556B">
      <w:pPr>
        <w:rPr>
          <w:sz w:val="20"/>
          <w:szCs w:val="20"/>
          <w:lang w:val="es-ES"/>
        </w:rPr>
      </w:pPr>
    </w:p>
    <w:p w:rsidR="00A06D18" w:rsidRPr="00AF274C" w:rsidRDefault="00A06D18" w:rsidP="0045556B">
      <w:pPr>
        <w:rPr>
          <w:sz w:val="20"/>
          <w:szCs w:val="20"/>
          <w:lang w:val="es-ES"/>
        </w:rPr>
      </w:pPr>
    </w:p>
    <w:p w:rsidR="0045556B" w:rsidRPr="00AF274C" w:rsidRDefault="00581206" w:rsidP="00C4716E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Anticolinérgicos</w:t>
      </w:r>
    </w:p>
    <w:p w:rsidR="00612EAE" w:rsidRPr="00AF274C" w:rsidRDefault="00612EAE" w:rsidP="00A10828">
      <w:pPr>
        <w:rPr>
          <w:sz w:val="20"/>
          <w:szCs w:val="20"/>
          <w:lang w:val="es-ES"/>
        </w:rPr>
      </w:pPr>
    </w:p>
    <w:p w:rsidR="005F2D56" w:rsidRPr="00AF274C" w:rsidRDefault="00F6140A" w:rsidP="00F6140A">
      <w:pPr>
        <w:autoSpaceDE w:val="0"/>
        <w:autoSpaceDN w:val="0"/>
        <w:adjustRightInd w:val="0"/>
        <w:rPr>
          <w:rFonts w:cs="Tahoma"/>
          <w:sz w:val="20"/>
          <w:szCs w:val="20"/>
          <w:lang w:val="es-ES" w:eastAsia="ca-ES"/>
        </w:rPr>
      </w:pPr>
      <w:r w:rsidRPr="00AF274C">
        <w:rPr>
          <w:rFonts w:cs="Tahoma"/>
          <w:sz w:val="20"/>
          <w:szCs w:val="20"/>
          <w:lang w:val="es-ES" w:eastAsia="ca-ES"/>
        </w:rPr>
        <w:t xml:space="preserve">El </w:t>
      </w:r>
      <w:r w:rsidR="00AF274C">
        <w:rPr>
          <w:rFonts w:cs="Tahoma"/>
          <w:sz w:val="20"/>
          <w:szCs w:val="20"/>
          <w:lang w:val="es-ES" w:eastAsia="ca-ES"/>
        </w:rPr>
        <w:t>consumo</w:t>
      </w:r>
      <w:r w:rsidR="000965F0">
        <w:rPr>
          <w:rFonts w:cs="Tahoma"/>
          <w:sz w:val="20"/>
          <w:szCs w:val="20"/>
          <w:lang w:val="es-ES" w:eastAsia="ca-ES"/>
        </w:rPr>
        <w:t xml:space="preserve"> de </w:t>
      </w:r>
      <w:r w:rsidR="00581206">
        <w:rPr>
          <w:rFonts w:cs="Tahoma"/>
          <w:sz w:val="20"/>
          <w:szCs w:val="20"/>
          <w:lang w:val="es-ES" w:eastAsia="ca-ES"/>
        </w:rPr>
        <w:t>anticolinérgicos</w:t>
      </w:r>
      <w:r w:rsidRPr="00AF274C">
        <w:rPr>
          <w:rFonts w:cs="Tahoma"/>
          <w:sz w:val="20"/>
          <w:szCs w:val="20"/>
          <w:lang w:val="es-ES" w:eastAsia="ca-ES"/>
        </w:rPr>
        <w:t xml:space="preserve"> </w:t>
      </w:r>
      <w:r w:rsidR="00F32746" w:rsidRPr="00AF274C">
        <w:rPr>
          <w:rFonts w:cs="Tahoma"/>
          <w:sz w:val="20"/>
          <w:szCs w:val="20"/>
          <w:lang w:val="es-ES" w:eastAsia="ca-ES"/>
        </w:rPr>
        <w:t>incrementa</w:t>
      </w:r>
      <w:r w:rsidRPr="00AF274C">
        <w:rPr>
          <w:rFonts w:cs="Tahoma"/>
          <w:sz w:val="20"/>
          <w:szCs w:val="20"/>
          <w:lang w:val="es-ES" w:eastAsia="ca-ES"/>
        </w:rPr>
        <w:t xml:space="preserve"> el </w:t>
      </w:r>
      <w:r w:rsidR="00AF274C">
        <w:rPr>
          <w:rFonts w:cs="Tahoma"/>
          <w:sz w:val="20"/>
          <w:szCs w:val="20"/>
          <w:lang w:val="es-ES" w:eastAsia="ca-ES"/>
        </w:rPr>
        <w:t>riesgo</w:t>
      </w:r>
      <w:r w:rsidRPr="00AF274C">
        <w:rPr>
          <w:rFonts w:cs="Tahoma"/>
          <w:sz w:val="20"/>
          <w:szCs w:val="20"/>
          <w:lang w:val="es-ES" w:eastAsia="ca-ES"/>
        </w:rPr>
        <w:t xml:space="preserve"> de </w:t>
      </w:r>
      <w:r w:rsidR="00AF274C">
        <w:rPr>
          <w:rFonts w:cs="Tahoma"/>
          <w:sz w:val="20"/>
          <w:szCs w:val="20"/>
          <w:lang w:val="es-ES" w:eastAsia="ca-ES"/>
        </w:rPr>
        <w:t>neumonía</w:t>
      </w:r>
      <w:r w:rsidR="00F32746" w:rsidRPr="00AF274C">
        <w:rPr>
          <w:rFonts w:cs="Tahoma"/>
          <w:sz w:val="20"/>
          <w:szCs w:val="20"/>
          <w:lang w:val="es-ES" w:eastAsia="ca-ES"/>
        </w:rPr>
        <w:t xml:space="preserve"> en 1,6 a 2,5 </w:t>
      </w:r>
      <w:r w:rsidR="00FA2E86">
        <w:rPr>
          <w:rFonts w:cs="Tahoma"/>
          <w:sz w:val="20"/>
          <w:szCs w:val="20"/>
          <w:lang w:val="es-ES" w:eastAsia="ca-ES"/>
        </w:rPr>
        <w:t>veces</w:t>
      </w:r>
      <w:r w:rsidRPr="00AF274C">
        <w:rPr>
          <w:rFonts w:cs="Tahoma"/>
          <w:sz w:val="20"/>
          <w:szCs w:val="20"/>
          <w:lang w:val="es-ES" w:eastAsia="ca-ES"/>
        </w:rPr>
        <w:t>.</w:t>
      </w:r>
      <w:r w:rsidR="00B97A37" w:rsidRPr="00AF274C">
        <w:rPr>
          <w:rStyle w:val="Refdenotaalfinal"/>
          <w:rFonts w:cs="Tahoma"/>
          <w:sz w:val="20"/>
          <w:szCs w:val="20"/>
          <w:lang w:val="es-ES" w:eastAsia="ca-ES"/>
        </w:rPr>
        <w:endnoteReference w:id="14"/>
      </w:r>
      <w:r w:rsidR="00B97A37" w:rsidRPr="00AF274C">
        <w:rPr>
          <w:rFonts w:cs="Tahoma"/>
          <w:sz w:val="20"/>
          <w:szCs w:val="20"/>
          <w:vertAlign w:val="superscript"/>
          <w:lang w:val="es-ES" w:eastAsia="ca-ES"/>
        </w:rPr>
        <w:t>,</w:t>
      </w:r>
      <w:r w:rsidR="00E30402" w:rsidRPr="00AF274C">
        <w:rPr>
          <w:rStyle w:val="Refdenotaalfinal"/>
          <w:rFonts w:cs="Tahoma"/>
          <w:sz w:val="20"/>
          <w:szCs w:val="20"/>
          <w:lang w:val="es-ES" w:eastAsia="ca-ES"/>
        </w:rPr>
        <w:endnoteReference w:id="15"/>
      </w:r>
      <w:proofErr w:type="gramStart"/>
      <w:r w:rsidR="00B97A37" w:rsidRPr="00AF274C">
        <w:rPr>
          <w:rFonts w:cs="Tahoma"/>
          <w:sz w:val="20"/>
          <w:szCs w:val="20"/>
          <w:vertAlign w:val="superscript"/>
          <w:lang w:val="es-ES" w:eastAsia="ca-ES"/>
        </w:rPr>
        <w:t>,</w:t>
      </w:r>
      <w:proofErr w:type="gramEnd"/>
      <w:r w:rsidR="00B97A37" w:rsidRPr="00AF274C">
        <w:rPr>
          <w:rStyle w:val="Refdenotaalfinal"/>
          <w:rFonts w:cs="Tahoma"/>
          <w:sz w:val="20"/>
          <w:szCs w:val="20"/>
          <w:lang w:val="es-ES" w:eastAsia="ca-ES"/>
        </w:rPr>
        <w:endnoteReference w:id="16"/>
      </w:r>
      <w:r w:rsidR="00D16B5C" w:rsidRPr="00AF274C">
        <w:rPr>
          <w:rFonts w:cs="Tahoma"/>
          <w:sz w:val="20"/>
          <w:szCs w:val="20"/>
          <w:lang w:val="es-ES" w:eastAsia="ca-ES"/>
        </w:rPr>
        <w:t xml:space="preserve"> </w:t>
      </w:r>
    </w:p>
    <w:p w:rsidR="005F2D56" w:rsidRPr="00AF274C" w:rsidRDefault="005F2D56" w:rsidP="00F6140A">
      <w:pPr>
        <w:autoSpaceDE w:val="0"/>
        <w:autoSpaceDN w:val="0"/>
        <w:adjustRightInd w:val="0"/>
        <w:rPr>
          <w:rFonts w:cs="Tahoma"/>
          <w:sz w:val="20"/>
          <w:szCs w:val="20"/>
          <w:lang w:val="es-ES" w:eastAsia="ca-ES"/>
        </w:rPr>
      </w:pPr>
    </w:p>
    <w:p w:rsidR="001471DA" w:rsidRPr="00AF274C" w:rsidRDefault="00FA2E86" w:rsidP="00B97A37">
      <w:pPr>
        <w:autoSpaceDE w:val="0"/>
        <w:autoSpaceDN w:val="0"/>
        <w:adjustRightInd w:val="0"/>
        <w:ind w:left="426" w:hanging="142"/>
        <w:rPr>
          <w:rFonts w:cs="Tahoma"/>
          <w:sz w:val="18"/>
          <w:szCs w:val="18"/>
          <w:lang w:val="es-ES" w:eastAsia="ca-ES"/>
        </w:rPr>
      </w:pPr>
      <w:r>
        <w:rPr>
          <w:rFonts w:cs="Tahoma"/>
          <w:sz w:val="18"/>
          <w:szCs w:val="18"/>
          <w:lang w:val="es-ES" w:eastAsia="ca-ES"/>
        </w:rPr>
        <w:t>Hay nume</w:t>
      </w:r>
      <w:r w:rsidR="00B97A37" w:rsidRPr="00AF274C">
        <w:rPr>
          <w:rFonts w:cs="Tahoma"/>
          <w:sz w:val="18"/>
          <w:szCs w:val="18"/>
          <w:lang w:val="es-ES" w:eastAsia="ca-ES"/>
        </w:rPr>
        <w:t xml:space="preserve">rosos </w:t>
      </w:r>
      <w:r>
        <w:rPr>
          <w:rFonts w:cs="Tahoma"/>
          <w:sz w:val="18"/>
          <w:szCs w:val="18"/>
          <w:lang w:val="es-ES" w:eastAsia="ca-ES"/>
        </w:rPr>
        <w:t>tipos y</w:t>
      </w:r>
      <w:r w:rsidR="00B97A37" w:rsidRPr="00AF274C">
        <w:rPr>
          <w:rFonts w:cs="Tahoma"/>
          <w:sz w:val="18"/>
          <w:szCs w:val="18"/>
          <w:lang w:val="es-ES" w:eastAsia="ca-ES"/>
        </w:rPr>
        <w:t xml:space="preserve"> grup</w:t>
      </w:r>
      <w:r>
        <w:rPr>
          <w:rFonts w:cs="Tahoma"/>
          <w:sz w:val="18"/>
          <w:szCs w:val="18"/>
          <w:lang w:val="es-ES" w:eastAsia="ca-ES"/>
        </w:rPr>
        <w:t>o</w:t>
      </w:r>
      <w:r w:rsidR="00B97A37" w:rsidRPr="00AF274C">
        <w:rPr>
          <w:rFonts w:cs="Tahoma"/>
          <w:sz w:val="18"/>
          <w:szCs w:val="18"/>
          <w:lang w:val="es-ES" w:eastAsia="ca-ES"/>
        </w:rPr>
        <w:t xml:space="preserve">s de </w:t>
      </w:r>
      <w:r w:rsidR="00030617">
        <w:rPr>
          <w:rFonts w:cs="Tahoma"/>
          <w:sz w:val="18"/>
          <w:szCs w:val="18"/>
          <w:lang w:val="es-ES" w:eastAsia="ca-ES"/>
        </w:rPr>
        <w:t>f</w:t>
      </w:r>
      <w:r w:rsidR="00B9771E">
        <w:rPr>
          <w:rFonts w:cs="Tahoma"/>
          <w:sz w:val="18"/>
          <w:szCs w:val="18"/>
          <w:lang w:val="es-ES" w:eastAsia="ca-ES"/>
        </w:rPr>
        <w:t>ármacos</w:t>
      </w:r>
      <w:r>
        <w:rPr>
          <w:rFonts w:cs="Tahoma"/>
          <w:sz w:val="18"/>
          <w:szCs w:val="18"/>
          <w:lang w:val="es-ES" w:eastAsia="ca-ES"/>
        </w:rPr>
        <w:t xml:space="preserve"> con actividad anticoliné</w:t>
      </w:r>
      <w:r w:rsidR="00B97A37" w:rsidRPr="00AF274C">
        <w:rPr>
          <w:rFonts w:cs="Tahoma"/>
          <w:sz w:val="18"/>
          <w:szCs w:val="18"/>
          <w:lang w:val="es-ES" w:eastAsia="ca-ES"/>
        </w:rPr>
        <w:t>rgica: antihistamínic</w:t>
      </w:r>
      <w:r w:rsidR="00030617">
        <w:rPr>
          <w:rFonts w:cs="Tahoma"/>
          <w:sz w:val="18"/>
          <w:szCs w:val="18"/>
          <w:lang w:val="es-ES" w:eastAsia="ca-ES"/>
        </w:rPr>
        <w:t>os de vent</w:t>
      </w:r>
      <w:r>
        <w:rPr>
          <w:rFonts w:cs="Tahoma"/>
          <w:sz w:val="18"/>
          <w:szCs w:val="18"/>
          <w:lang w:val="es-ES" w:eastAsia="ca-ES"/>
        </w:rPr>
        <w:t>a sin rece</w:t>
      </w:r>
      <w:r w:rsidR="00B97A37" w:rsidRPr="00AF274C">
        <w:rPr>
          <w:rFonts w:cs="Tahoma"/>
          <w:sz w:val="18"/>
          <w:szCs w:val="18"/>
          <w:lang w:val="es-ES" w:eastAsia="ca-ES"/>
        </w:rPr>
        <w:t xml:space="preserve">ta, </w:t>
      </w:r>
      <w:r w:rsidR="00B9771E">
        <w:rPr>
          <w:rFonts w:cs="Tahoma"/>
          <w:sz w:val="18"/>
          <w:szCs w:val="18"/>
          <w:lang w:val="es-ES" w:eastAsia="ca-ES"/>
        </w:rPr>
        <w:t>fármacos</w:t>
      </w:r>
      <w:r>
        <w:rPr>
          <w:rFonts w:cs="Tahoma"/>
          <w:sz w:val="18"/>
          <w:szCs w:val="18"/>
          <w:lang w:val="es-ES" w:eastAsia="ca-ES"/>
        </w:rPr>
        <w:t xml:space="preserve"> para la incontinencia urina</w:t>
      </w:r>
      <w:r w:rsidR="00B97A37" w:rsidRPr="00AF274C">
        <w:rPr>
          <w:rFonts w:cs="Tahoma"/>
          <w:sz w:val="18"/>
          <w:szCs w:val="18"/>
          <w:lang w:val="es-ES" w:eastAsia="ca-ES"/>
        </w:rPr>
        <w:t>ria com</w:t>
      </w:r>
      <w:r>
        <w:rPr>
          <w:rFonts w:cs="Tahoma"/>
          <w:sz w:val="18"/>
          <w:szCs w:val="18"/>
          <w:lang w:val="es-ES" w:eastAsia="ca-ES"/>
        </w:rPr>
        <w:t xml:space="preserve">o la </w:t>
      </w:r>
      <w:r w:rsidR="00B97A37" w:rsidRPr="00AF274C">
        <w:rPr>
          <w:rFonts w:cs="Tahoma"/>
          <w:sz w:val="18"/>
          <w:szCs w:val="18"/>
          <w:lang w:val="es-ES" w:eastAsia="ca-ES"/>
        </w:rPr>
        <w:t xml:space="preserve">oxibutinina, </w:t>
      </w:r>
      <w:r>
        <w:rPr>
          <w:rFonts w:cs="Tahoma"/>
          <w:sz w:val="18"/>
          <w:szCs w:val="18"/>
          <w:lang w:val="es-ES" w:eastAsia="ca-ES"/>
        </w:rPr>
        <w:t>antidepresivos tricíclicos y otros (véase la tab</w:t>
      </w:r>
      <w:r w:rsidR="00B97A37" w:rsidRPr="00AF274C">
        <w:rPr>
          <w:rFonts w:cs="Tahoma"/>
          <w:sz w:val="18"/>
          <w:szCs w:val="18"/>
          <w:lang w:val="es-ES" w:eastAsia="ca-ES"/>
        </w:rPr>
        <w:t xml:space="preserve">la). </w:t>
      </w:r>
    </w:p>
    <w:p w:rsidR="00B97A37" w:rsidRPr="00AF274C" w:rsidRDefault="00B97A37" w:rsidP="00B97A37">
      <w:pPr>
        <w:autoSpaceDE w:val="0"/>
        <w:autoSpaceDN w:val="0"/>
        <w:adjustRightInd w:val="0"/>
        <w:ind w:left="426" w:hanging="142"/>
        <w:rPr>
          <w:rFonts w:cs="Tahoma"/>
          <w:sz w:val="18"/>
          <w:szCs w:val="18"/>
          <w:lang w:val="es-ES" w:eastAsia="ca-ES"/>
        </w:rPr>
      </w:pPr>
      <w:r w:rsidRPr="00AF274C">
        <w:rPr>
          <w:rFonts w:cs="Tahoma"/>
          <w:noProof/>
          <w:sz w:val="18"/>
          <w:szCs w:val="18"/>
          <w:lang w:val="es-ES" w:eastAsia="ca-ES"/>
        </w:rPr>
        <w:drawing>
          <wp:inline distT="0" distB="0" distL="0" distR="0">
            <wp:extent cx="2725695" cy="2822481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57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695" cy="2822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D5C" w:rsidRPr="00AF274C" w:rsidRDefault="004F056C" w:rsidP="00AA4374">
      <w:pPr>
        <w:autoSpaceDE w:val="0"/>
        <w:autoSpaceDN w:val="0"/>
        <w:adjustRightInd w:val="0"/>
        <w:ind w:left="284"/>
        <w:rPr>
          <w:rFonts w:cs="Tahoma"/>
          <w:sz w:val="18"/>
          <w:szCs w:val="18"/>
          <w:lang w:val="es-ES" w:eastAsia="ca-ES"/>
        </w:rPr>
      </w:pPr>
      <w:r>
        <w:rPr>
          <w:rFonts w:cs="Tahoma"/>
          <w:sz w:val="18"/>
          <w:szCs w:val="18"/>
          <w:lang w:val="es-ES" w:eastAsia="ca-ES"/>
        </w:rPr>
        <w:t>Lo</w:t>
      </w:r>
      <w:r w:rsidR="00AA4374" w:rsidRPr="00AF274C">
        <w:rPr>
          <w:rFonts w:cs="Tahoma"/>
          <w:sz w:val="18"/>
          <w:szCs w:val="18"/>
          <w:lang w:val="es-ES" w:eastAsia="ca-ES"/>
        </w:rPr>
        <w:t>s</w:t>
      </w:r>
      <w:r>
        <w:rPr>
          <w:rFonts w:cs="Tahoma"/>
          <w:sz w:val="18"/>
          <w:szCs w:val="18"/>
          <w:lang w:val="es-ES" w:eastAsia="ca-ES"/>
        </w:rPr>
        <w:t xml:space="preserve"> datos publicados</w:t>
      </w:r>
      <w:r w:rsidR="00212D5C" w:rsidRPr="00AF274C">
        <w:rPr>
          <w:rFonts w:cs="Tahoma"/>
          <w:sz w:val="18"/>
          <w:szCs w:val="18"/>
          <w:lang w:val="es-ES" w:eastAsia="ca-ES"/>
        </w:rPr>
        <w:t xml:space="preserve"> sobre </w:t>
      </w:r>
      <w:r w:rsidR="00AF274C">
        <w:rPr>
          <w:rFonts w:cs="Tahoma"/>
          <w:sz w:val="18"/>
          <w:szCs w:val="18"/>
          <w:lang w:val="es-ES" w:eastAsia="ca-ES"/>
        </w:rPr>
        <w:t>consumo</w:t>
      </w:r>
      <w:r>
        <w:rPr>
          <w:rFonts w:cs="Tahoma"/>
          <w:sz w:val="18"/>
          <w:szCs w:val="18"/>
          <w:lang w:val="es-ES" w:eastAsia="ca-ES"/>
        </w:rPr>
        <w:t xml:space="preserve"> son escaso</w:t>
      </w:r>
      <w:r w:rsidR="00AA4374" w:rsidRPr="00AF274C">
        <w:rPr>
          <w:rFonts w:cs="Tahoma"/>
          <w:sz w:val="18"/>
          <w:szCs w:val="18"/>
          <w:lang w:val="es-ES" w:eastAsia="ca-ES"/>
        </w:rPr>
        <w:t>s</w:t>
      </w:r>
      <w:r>
        <w:rPr>
          <w:rFonts w:cs="Tahoma"/>
          <w:sz w:val="18"/>
          <w:szCs w:val="18"/>
          <w:lang w:val="es-ES" w:eastAsia="ca-ES"/>
        </w:rPr>
        <w:t>. En</w:t>
      </w:r>
      <w:r w:rsidR="00212D5C" w:rsidRPr="00AF274C">
        <w:rPr>
          <w:rFonts w:cs="Tahoma"/>
          <w:sz w:val="18"/>
          <w:szCs w:val="18"/>
          <w:lang w:val="es-ES" w:eastAsia="ca-ES"/>
        </w:rPr>
        <w:t xml:space="preserve"> </w:t>
      </w:r>
      <w:r w:rsidR="00AF274C">
        <w:rPr>
          <w:rFonts w:cs="Tahoma"/>
          <w:sz w:val="18"/>
          <w:szCs w:val="18"/>
          <w:lang w:val="es-ES" w:eastAsia="ca-ES"/>
        </w:rPr>
        <w:t>C</w:t>
      </w:r>
      <w:r>
        <w:rPr>
          <w:rFonts w:cs="Tahoma"/>
          <w:sz w:val="18"/>
          <w:szCs w:val="18"/>
          <w:lang w:val="es-ES" w:eastAsia="ca-ES"/>
        </w:rPr>
        <w:t>ataluña en 2014, 42.000 persona</w:t>
      </w:r>
      <w:r w:rsidR="00212D5C" w:rsidRPr="00AF274C">
        <w:rPr>
          <w:rFonts w:cs="Tahoma"/>
          <w:sz w:val="18"/>
          <w:szCs w:val="18"/>
          <w:lang w:val="es-ES" w:eastAsia="ca-ES"/>
        </w:rPr>
        <w:t xml:space="preserve">s </w:t>
      </w:r>
      <w:r w:rsidR="00FA2E86">
        <w:rPr>
          <w:rFonts w:cs="Tahoma"/>
          <w:sz w:val="18"/>
          <w:szCs w:val="18"/>
          <w:lang w:val="es-ES" w:eastAsia="ca-ES"/>
        </w:rPr>
        <w:t>mayores de</w:t>
      </w:r>
      <w:r w:rsidR="00212D5C" w:rsidRPr="00AF274C">
        <w:rPr>
          <w:rFonts w:cs="Tahoma"/>
          <w:sz w:val="18"/>
          <w:szCs w:val="18"/>
          <w:lang w:val="es-ES" w:eastAsia="ca-ES"/>
        </w:rPr>
        <w:t xml:space="preserve"> 70 </w:t>
      </w:r>
      <w:r w:rsidR="00581206">
        <w:rPr>
          <w:rFonts w:cs="Tahoma"/>
          <w:sz w:val="18"/>
          <w:szCs w:val="18"/>
          <w:lang w:val="es-ES" w:eastAsia="ca-ES"/>
        </w:rPr>
        <w:t>años</w:t>
      </w:r>
      <w:r>
        <w:rPr>
          <w:rFonts w:cs="Tahoma"/>
          <w:sz w:val="18"/>
          <w:szCs w:val="18"/>
          <w:lang w:val="es-ES" w:eastAsia="ca-ES"/>
        </w:rPr>
        <w:t xml:space="preserve"> (4,3% de tod</w:t>
      </w:r>
      <w:r w:rsidR="00212D5C" w:rsidRPr="00AF274C">
        <w:rPr>
          <w:rFonts w:cs="Tahoma"/>
          <w:sz w:val="18"/>
          <w:szCs w:val="18"/>
          <w:lang w:val="es-ES" w:eastAsia="ca-ES"/>
        </w:rPr>
        <w:t>a la poblac</w:t>
      </w:r>
      <w:r>
        <w:rPr>
          <w:rFonts w:cs="Tahoma"/>
          <w:sz w:val="18"/>
          <w:szCs w:val="18"/>
          <w:lang w:val="es-ES" w:eastAsia="ca-ES"/>
        </w:rPr>
        <w:t>ión de esta edad) recibi</w:t>
      </w:r>
      <w:r w:rsidR="000965F0">
        <w:rPr>
          <w:rFonts w:cs="Tahoma"/>
          <w:sz w:val="18"/>
          <w:szCs w:val="18"/>
          <w:lang w:val="es-ES" w:eastAsia="ca-ES"/>
        </w:rPr>
        <w:t>eron</w:t>
      </w:r>
      <w:r>
        <w:rPr>
          <w:rFonts w:cs="Tahoma"/>
          <w:sz w:val="18"/>
          <w:szCs w:val="18"/>
          <w:lang w:val="es-ES" w:eastAsia="ca-ES"/>
        </w:rPr>
        <w:t xml:space="preserve"> algú</w:t>
      </w:r>
      <w:r w:rsidR="00212D5C" w:rsidRPr="00AF274C">
        <w:rPr>
          <w:rFonts w:cs="Tahoma"/>
          <w:sz w:val="18"/>
          <w:szCs w:val="18"/>
          <w:lang w:val="es-ES" w:eastAsia="ca-ES"/>
        </w:rPr>
        <w:t xml:space="preserve">n </w:t>
      </w:r>
      <w:r w:rsidR="00581206">
        <w:rPr>
          <w:rFonts w:cs="Tahoma"/>
          <w:sz w:val="18"/>
          <w:szCs w:val="18"/>
          <w:lang w:val="es-ES" w:eastAsia="ca-ES"/>
        </w:rPr>
        <w:t>fármaco</w:t>
      </w:r>
      <w:r>
        <w:rPr>
          <w:rFonts w:cs="Tahoma"/>
          <w:sz w:val="18"/>
          <w:szCs w:val="18"/>
          <w:lang w:val="es-ES" w:eastAsia="ca-ES"/>
        </w:rPr>
        <w:t xml:space="preserve"> anticolinérgico</w:t>
      </w:r>
      <w:r w:rsidR="00212D5C" w:rsidRPr="00AF274C">
        <w:rPr>
          <w:rFonts w:cs="Tahoma"/>
          <w:sz w:val="18"/>
          <w:szCs w:val="18"/>
          <w:lang w:val="es-ES" w:eastAsia="ca-ES"/>
        </w:rPr>
        <w:t>.</w:t>
      </w:r>
      <w:r w:rsidR="00212D5C" w:rsidRPr="00AF274C">
        <w:rPr>
          <w:rStyle w:val="Refdenotaalfinal"/>
          <w:rFonts w:cs="Tahoma"/>
          <w:sz w:val="18"/>
          <w:szCs w:val="18"/>
          <w:lang w:val="es-ES" w:eastAsia="ca-ES"/>
        </w:rPr>
        <w:endnoteReference w:id="17"/>
      </w:r>
      <w:r w:rsidR="00212D5C" w:rsidRPr="00AF274C">
        <w:rPr>
          <w:rFonts w:cs="Tahoma"/>
          <w:sz w:val="18"/>
          <w:szCs w:val="18"/>
          <w:lang w:val="es-ES" w:eastAsia="ca-ES"/>
        </w:rPr>
        <w:t xml:space="preserve"> </w:t>
      </w:r>
      <w:r w:rsidR="000965F0">
        <w:rPr>
          <w:rFonts w:cs="Tahoma"/>
          <w:b/>
          <w:sz w:val="18"/>
          <w:szCs w:val="18"/>
          <w:lang w:val="es-ES" w:eastAsia="ca-ES"/>
        </w:rPr>
        <w:t xml:space="preserve">Evitar la 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>exposició</w:t>
      </w:r>
      <w:r>
        <w:rPr>
          <w:rFonts w:cs="Tahoma"/>
          <w:b/>
          <w:sz w:val="18"/>
          <w:szCs w:val="18"/>
          <w:lang w:val="es-ES" w:eastAsia="ca-ES"/>
        </w:rPr>
        <w:t>n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 xml:space="preserve"> de</w:t>
      </w:r>
      <w:r>
        <w:rPr>
          <w:rFonts w:cs="Tahoma"/>
          <w:b/>
          <w:sz w:val="18"/>
          <w:szCs w:val="18"/>
          <w:lang w:val="es-ES" w:eastAsia="ca-ES"/>
        </w:rPr>
        <w:t xml:space="preserve"> 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>l</w:t>
      </w:r>
      <w:r>
        <w:rPr>
          <w:rFonts w:cs="Tahoma"/>
          <w:b/>
          <w:sz w:val="18"/>
          <w:szCs w:val="18"/>
          <w:lang w:val="es-ES" w:eastAsia="ca-ES"/>
        </w:rPr>
        <w:t>o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>s pacient</w:t>
      </w:r>
      <w:r>
        <w:rPr>
          <w:rFonts w:cs="Tahoma"/>
          <w:b/>
          <w:sz w:val="18"/>
          <w:szCs w:val="18"/>
          <w:lang w:val="es-ES" w:eastAsia="ca-ES"/>
        </w:rPr>
        <w:t>e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>s, sobre</w:t>
      </w:r>
      <w:r>
        <w:rPr>
          <w:rFonts w:cs="Tahoma"/>
          <w:b/>
          <w:sz w:val="18"/>
          <w:szCs w:val="18"/>
          <w:lang w:val="es-ES" w:eastAsia="ca-ES"/>
        </w:rPr>
        <w:t xml:space="preserve"> todo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 xml:space="preserve"> </w:t>
      </w:r>
      <w:r w:rsidR="00AA4374" w:rsidRPr="00AF274C">
        <w:rPr>
          <w:rFonts w:cs="Tahoma"/>
          <w:b/>
          <w:sz w:val="18"/>
          <w:szCs w:val="18"/>
          <w:lang w:val="es-ES" w:eastAsia="ca-ES"/>
        </w:rPr>
        <w:t xml:space="preserve">de </w:t>
      </w:r>
      <w:r>
        <w:rPr>
          <w:rFonts w:cs="Tahoma"/>
          <w:b/>
          <w:sz w:val="18"/>
          <w:szCs w:val="18"/>
          <w:lang w:val="es-ES" w:eastAsia="ca-ES"/>
        </w:rPr>
        <w:t>los mayores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 xml:space="preserve">, a </w:t>
      </w:r>
      <w:r w:rsidR="00AF274C">
        <w:rPr>
          <w:rFonts w:cs="Tahoma"/>
          <w:b/>
          <w:sz w:val="18"/>
          <w:szCs w:val="18"/>
          <w:lang w:val="es-ES" w:eastAsia="ca-ES"/>
        </w:rPr>
        <w:t>estos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 xml:space="preserve"> </w:t>
      </w:r>
      <w:r>
        <w:rPr>
          <w:rFonts w:cs="Tahoma"/>
          <w:b/>
          <w:sz w:val="18"/>
          <w:szCs w:val="18"/>
          <w:lang w:val="es-ES" w:eastAsia="ca-ES"/>
        </w:rPr>
        <w:t>f</w:t>
      </w:r>
      <w:r w:rsidR="00B9771E">
        <w:rPr>
          <w:rFonts w:cs="Tahoma"/>
          <w:b/>
          <w:sz w:val="18"/>
          <w:szCs w:val="18"/>
          <w:lang w:val="es-ES" w:eastAsia="ca-ES"/>
        </w:rPr>
        <w:t>ármacos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 xml:space="preserve"> tamb</w:t>
      </w:r>
      <w:r>
        <w:rPr>
          <w:rFonts w:cs="Tahoma"/>
          <w:b/>
          <w:sz w:val="18"/>
          <w:szCs w:val="18"/>
          <w:lang w:val="es-ES" w:eastAsia="ca-ES"/>
        </w:rPr>
        <w:t>i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>é</w:t>
      </w:r>
      <w:r>
        <w:rPr>
          <w:rFonts w:cs="Tahoma"/>
          <w:b/>
          <w:sz w:val="18"/>
          <w:szCs w:val="18"/>
          <w:lang w:val="es-ES" w:eastAsia="ca-ES"/>
        </w:rPr>
        <w:t>n podría evit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 xml:space="preserve">ar </w:t>
      </w:r>
      <w:r w:rsidR="005A45BD" w:rsidRPr="00AF274C">
        <w:rPr>
          <w:rFonts w:cs="Tahoma"/>
          <w:b/>
          <w:sz w:val="18"/>
          <w:szCs w:val="18"/>
          <w:lang w:val="es-ES" w:eastAsia="ca-ES"/>
        </w:rPr>
        <w:t xml:space="preserve">entre 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>un</w:t>
      </w:r>
      <w:r>
        <w:rPr>
          <w:rFonts w:cs="Tahoma"/>
          <w:b/>
          <w:sz w:val="18"/>
          <w:szCs w:val="18"/>
          <w:lang w:val="es-ES" w:eastAsia="ca-ES"/>
        </w:rPr>
        <w:t>o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>s centenar</w:t>
      </w:r>
      <w:r>
        <w:rPr>
          <w:rFonts w:cs="Tahoma"/>
          <w:b/>
          <w:sz w:val="18"/>
          <w:szCs w:val="18"/>
          <w:lang w:val="es-ES" w:eastAsia="ca-ES"/>
        </w:rPr>
        <w:t>e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 xml:space="preserve">s </w:t>
      </w:r>
      <w:r>
        <w:rPr>
          <w:rFonts w:cs="Tahoma"/>
          <w:b/>
          <w:sz w:val="18"/>
          <w:szCs w:val="18"/>
          <w:lang w:val="es-ES" w:eastAsia="ca-ES"/>
        </w:rPr>
        <w:t>y</w:t>
      </w:r>
      <w:r w:rsidR="005A45BD" w:rsidRPr="00AF274C">
        <w:rPr>
          <w:rFonts w:cs="Tahoma"/>
          <w:b/>
          <w:sz w:val="18"/>
          <w:szCs w:val="18"/>
          <w:lang w:val="es-ES" w:eastAsia="ca-ES"/>
        </w:rPr>
        <w:t xml:space="preserve"> un</w:t>
      </w:r>
      <w:r>
        <w:rPr>
          <w:rFonts w:cs="Tahoma"/>
          <w:b/>
          <w:sz w:val="18"/>
          <w:szCs w:val="18"/>
          <w:lang w:val="es-ES" w:eastAsia="ca-ES"/>
        </w:rPr>
        <w:t>os mile</w:t>
      </w:r>
      <w:r w:rsidR="005A45BD" w:rsidRPr="00AF274C">
        <w:rPr>
          <w:rFonts w:cs="Tahoma"/>
          <w:b/>
          <w:sz w:val="18"/>
          <w:szCs w:val="18"/>
          <w:lang w:val="es-ES" w:eastAsia="ca-ES"/>
        </w:rPr>
        <w:t xml:space="preserve">s 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 xml:space="preserve">de casos </w:t>
      </w:r>
      <w:r>
        <w:rPr>
          <w:rFonts w:cs="Tahoma"/>
          <w:b/>
          <w:sz w:val="18"/>
          <w:szCs w:val="18"/>
          <w:lang w:val="es-ES" w:eastAsia="ca-ES"/>
        </w:rPr>
        <w:t>ad</w:t>
      </w:r>
      <w:r w:rsidR="005A45BD" w:rsidRPr="00AF274C">
        <w:rPr>
          <w:rFonts w:cs="Tahoma"/>
          <w:b/>
          <w:sz w:val="18"/>
          <w:szCs w:val="18"/>
          <w:lang w:val="es-ES" w:eastAsia="ca-ES"/>
        </w:rPr>
        <w:t>icional</w:t>
      </w:r>
      <w:r>
        <w:rPr>
          <w:rFonts w:cs="Tahoma"/>
          <w:b/>
          <w:sz w:val="18"/>
          <w:szCs w:val="18"/>
          <w:lang w:val="es-ES" w:eastAsia="ca-ES"/>
        </w:rPr>
        <w:t>e</w:t>
      </w:r>
      <w:r w:rsidR="005A45BD" w:rsidRPr="00AF274C">
        <w:rPr>
          <w:rFonts w:cs="Tahoma"/>
          <w:b/>
          <w:sz w:val="18"/>
          <w:szCs w:val="18"/>
          <w:lang w:val="es-ES" w:eastAsia="ca-ES"/>
        </w:rPr>
        <w:t xml:space="preserve">s 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 xml:space="preserve">de </w:t>
      </w:r>
      <w:r w:rsidR="00AF274C">
        <w:rPr>
          <w:rFonts w:cs="Tahoma"/>
          <w:b/>
          <w:sz w:val="18"/>
          <w:szCs w:val="18"/>
          <w:lang w:val="es-ES" w:eastAsia="ca-ES"/>
        </w:rPr>
        <w:t>neumonía</w:t>
      </w:r>
      <w:r w:rsidR="00212D5C" w:rsidRPr="00AF274C">
        <w:rPr>
          <w:rFonts w:cs="Tahoma"/>
          <w:b/>
          <w:sz w:val="18"/>
          <w:szCs w:val="18"/>
          <w:lang w:val="es-ES" w:eastAsia="ca-ES"/>
        </w:rPr>
        <w:t>.</w:t>
      </w:r>
    </w:p>
    <w:p w:rsidR="00212D5C" w:rsidRPr="00AF274C" w:rsidRDefault="00212D5C" w:rsidP="00212D5C">
      <w:pPr>
        <w:rPr>
          <w:rFonts w:cs="Tahoma"/>
          <w:sz w:val="20"/>
          <w:szCs w:val="20"/>
          <w:lang w:val="es-ES"/>
        </w:rPr>
      </w:pPr>
      <w:r w:rsidRPr="00AF274C">
        <w:rPr>
          <w:rFonts w:cs="Tahoma"/>
          <w:sz w:val="20"/>
          <w:szCs w:val="20"/>
          <w:lang w:val="es-ES"/>
        </w:rPr>
        <w:t xml:space="preserve"> </w:t>
      </w:r>
    </w:p>
    <w:p w:rsidR="001471DA" w:rsidRPr="00AF274C" w:rsidRDefault="004F056C" w:rsidP="00B97A37">
      <w:pPr>
        <w:autoSpaceDE w:val="0"/>
        <w:autoSpaceDN w:val="0"/>
        <w:adjustRightInd w:val="0"/>
        <w:ind w:left="426" w:hanging="142"/>
        <w:rPr>
          <w:rFonts w:cs="Tahoma"/>
          <w:sz w:val="18"/>
          <w:szCs w:val="18"/>
          <w:lang w:val="es-ES" w:eastAsia="ca-ES"/>
        </w:rPr>
      </w:pPr>
      <w:r>
        <w:rPr>
          <w:rFonts w:cs="Tahoma"/>
          <w:sz w:val="18"/>
          <w:szCs w:val="18"/>
          <w:lang w:val="es-ES" w:eastAsia="ca-ES"/>
        </w:rPr>
        <w:t>Los f</w:t>
      </w:r>
      <w:r w:rsidR="00B9771E">
        <w:rPr>
          <w:rFonts w:cs="Tahoma"/>
          <w:sz w:val="18"/>
          <w:szCs w:val="18"/>
          <w:lang w:val="es-ES" w:eastAsia="ca-ES"/>
        </w:rPr>
        <w:t>ármacos</w:t>
      </w:r>
      <w:r w:rsidR="001471DA" w:rsidRPr="00AF274C">
        <w:rPr>
          <w:rFonts w:cs="Tahoma"/>
          <w:sz w:val="18"/>
          <w:szCs w:val="18"/>
          <w:lang w:val="es-ES" w:eastAsia="ca-ES"/>
        </w:rPr>
        <w:t xml:space="preserve"> </w:t>
      </w:r>
      <w:r w:rsidR="00581206">
        <w:rPr>
          <w:rFonts w:cs="Tahoma"/>
          <w:sz w:val="18"/>
          <w:szCs w:val="18"/>
          <w:lang w:val="es-ES" w:eastAsia="ca-ES"/>
        </w:rPr>
        <w:t>anticolinérgicos</w:t>
      </w:r>
      <w:r>
        <w:rPr>
          <w:rFonts w:cs="Tahoma"/>
          <w:sz w:val="18"/>
          <w:szCs w:val="18"/>
          <w:lang w:val="es-ES" w:eastAsia="ca-ES"/>
        </w:rPr>
        <w:t xml:space="preserve"> incrementa</w:t>
      </w:r>
      <w:r w:rsidR="001471DA" w:rsidRPr="00AF274C">
        <w:rPr>
          <w:rFonts w:cs="Tahoma"/>
          <w:sz w:val="18"/>
          <w:szCs w:val="18"/>
          <w:lang w:val="es-ES" w:eastAsia="ca-ES"/>
        </w:rPr>
        <w:t xml:space="preserve">n el </w:t>
      </w:r>
      <w:r w:rsidR="00AF274C">
        <w:rPr>
          <w:rFonts w:cs="Tahoma"/>
          <w:sz w:val="18"/>
          <w:szCs w:val="18"/>
          <w:lang w:val="es-ES" w:eastAsia="ca-ES"/>
        </w:rPr>
        <w:t>riesgo</w:t>
      </w:r>
      <w:r w:rsidR="001471DA" w:rsidRPr="00AF274C">
        <w:rPr>
          <w:rFonts w:cs="Tahoma"/>
          <w:sz w:val="18"/>
          <w:szCs w:val="18"/>
          <w:lang w:val="es-ES" w:eastAsia="ca-ES"/>
        </w:rPr>
        <w:t xml:space="preserve"> de </w:t>
      </w:r>
      <w:r w:rsidR="00AF274C">
        <w:rPr>
          <w:rFonts w:cs="Tahoma"/>
          <w:sz w:val="18"/>
          <w:szCs w:val="18"/>
          <w:lang w:val="es-ES" w:eastAsia="ca-ES"/>
        </w:rPr>
        <w:t>neumonía</w:t>
      </w:r>
      <w:r>
        <w:rPr>
          <w:rFonts w:cs="Tahoma"/>
          <w:sz w:val="18"/>
          <w:szCs w:val="18"/>
          <w:lang w:val="es-ES" w:eastAsia="ca-ES"/>
        </w:rPr>
        <w:t xml:space="preserve"> por sus efecto</w:t>
      </w:r>
      <w:r w:rsidR="001471DA" w:rsidRPr="00AF274C">
        <w:rPr>
          <w:rFonts w:cs="Tahoma"/>
          <w:sz w:val="18"/>
          <w:szCs w:val="18"/>
          <w:lang w:val="es-ES" w:eastAsia="ca-ES"/>
        </w:rPr>
        <w:t>s sedant</w:t>
      </w:r>
      <w:r>
        <w:rPr>
          <w:rFonts w:cs="Tahoma"/>
          <w:sz w:val="18"/>
          <w:szCs w:val="18"/>
          <w:lang w:val="es-ES" w:eastAsia="ca-ES"/>
        </w:rPr>
        <w:t>es y</w:t>
      </w:r>
      <w:r w:rsidR="001471DA" w:rsidRPr="00AF274C">
        <w:rPr>
          <w:rFonts w:cs="Tahoma"/>
          <w:sz w:val="18"/>
          <w:szCs w:val="18"/>
          <w:lang w:val="es-ES" w:eastAsia="ca-ES"/>
        </w:rPr>
        <w:t xml:space="preserve"> </w:t>
      </w:r>
      <w:r w:rsidR="00030617">
        <w:rPr>
          <w:rFonts w:cs="Tahoma"/>
          <w:sz w:val="18"/>
          <w:szCs w:val="18"/>
          <w:lang w:val="es-ES" w:eastAsia="ca-ES"/>
        </w:rPr>
        <w:t>porque pue</w:t>
      </w:r>
      <w:r>
        <w:rPr>
          <w:rFonts w:cs="Tahoma"/>
          <w:sz w:val="18"/>
          <w:szCs w:val="18"/>
          <w:lang w:val="es-ES" w:eastAsia="ca-ES"/>
        </w:rPr>
        <w:t>den alterar el estado</w:t>
      </w:r>
      <w:r w:rsidR="001471DA" w:rsidRPr="00AF274C">
        <w:rPr>
          <w:rFonts w:cs="Tahoma"/>
          <w:sz w:val="18"/>
          <w:szCs w:val="18"/>
          <w:lang w:val="es-ES" w:eastAsia="ca-ES"/>
        </w:rPr>
        <w:t xml:space="preserve"> mental i contribuir a un </w:t>
      </w:r>
      <w:r w:rsidR="00AF274C">
        <w:rPr>
          <w:rFonts w:cs="Tahoma"/>
          <w:sz w:val="18"/>
          <w:szCs w:val="18"/>
          <w:lang w:val="es-ES" w:eastAsia="ca-ES"/>
        </w:rPr>
        <w:t>riesgo</w:t>
      </w:r>
      <w:r w:rsidR="000965F0">
        <w:rPr>
          <w:rFonts w:cs="Tahoma"/>
          <w:sz w:val="18"/>
          <w:szCs w:val="18"/>
          <w:lang w:val="es-ES" w:eastAsia="ca-ES"/>
        </w:rPr>
        <w:t xml:space="preserve"> de </w:t>
      </w:r>
      <w:r w:rsidR="001471DA" w:rsidRPr="00AF274C">
        <w:rPr>
          <w:rFonts w:cs="Tahoma"/>
          <w:sz w:val="18"/>
          <w:szCs w:val="18"/>
          <w:lang w:val="es-ES" w:eastAsia="ca-ES"/>
        </w:rPr>
        <w:t>aspiració</w:t>
      </w:r>
      <w:r w:rsidR="000965F0">
        <w:rPr>
          <w:rFonts w:cs="Tahoma"/>
          <w:sz w:val="18"/>
          <w:szCs w:val="18"/>
          <w:lang w:val="es-ES" w:eastAsia="ca-ES"/>
        </w:rPr>
        <w:t>n</w:t>
      </w:r>
      <w:r w:rsidR="00030617">
        <w:rPr>
          <w:rFonts w:cs="Tahoma"/>
          <w:sz w:val="18"/>
          <w:szCs w:val="18"/>
          <w:lang w:val="es-ES" w:eastAsia="ca-ES"/>
        </w:rPr>
        <w:t>, y</w:t>
      </w:r>
      <w:r w:rsidR="001471DA" w:rsidRPr="00AF274C">
        <w:rPr>
          <w:rFonts w:cs="Tahoma"/>
          <w:sz w:val="18"/>
          <w:szCs w:val="18"/>
          <w:lang w:val="es-ES" w:eastAsia="ca-ES"/>
        </w:rPr>
        <w:t xml:space="preserve"> ta</w:t>
      </w:r>
      <w:r>
        <w:rPr>
          <w:rFonts w:cs="Tahoma"/>
          <w:sz w:val="18"/>
          <w:szCs w:val="18"/>
          <w:lang w:val="es-ES" w:eastAsia="ca-ES"/>
        </w:rPr>
        <w:t>mb</w:t>
      </w:r>
      <w:r w:rsidR="00030617">
        <w:rPr>
          <w:rFonts w:cs="Tahoma"/>
          <w:sz w:val="18"/>
          <w:szCs w:val="18"/>
          <w:lang w:val="es-ES" w:eastAsia="ca-ES"/>
        </w:rPr>
        <w:t>i</w:t>
      </w:r>
      <w:r>
        <w:rPr>
          <w:rFonts w:cs="Tahoma"/>
          <w:sz w:val="18"/>
          <w:szCs w:val="18"/>
          <w:lang w:val="es-ES" w:eastAsia="ca-ES"/>
        </w:rPr>
        <w:t>é</w:t>
      </w:r>
      <w:r w:rsidR="00030617">
        <w:rPr>
          <w:rFonts w:cs="Tahoma"/>
          <w:sz w:val="18"/>
          <w:szCs w:val="18"/>
          <w:lang w:val="es-ES" w:eastAsia="ca-ES"/>
        </w:rPr>
        <w:t>n</w:t>
      </w:r>
      <w:r>
        <w:rPr>
          <w:rFonts w:cs="Tahoma"/>
          <w:sz w:val="18"/>
          <w:szCs w:val="18"/>
          <w:lang w:val="es-ES" w:eastAsia="ca-ES"/>
        </w:rPr>
        <w:t xml:space="preserve"> a mala ventilación pulmonar y</w:t>
      </w:r>
      <w:r w:rsidR="001471DA" w:rsidRPr="00AF274C">
        <w:rPr>
          <w:rFonts w:cs="Tahoma"/>
          <w:sz w:val="18"/>
          <w:szCs w:val="18"/>
          <w:lang w:val="es-ES" w:eastAsia="ca-ES"/>
        </w:rPr>
        <w:t xml:space="preserve"> formació</w:t>
      </w:r>
      <w:r>
        <w:rPr>
          <w:rFonts w:cs="Tahoma"/>
          <w:sz w:val="18"/>
          <w:szCs w:val="18"/>
          <w:lang w:val="es-ES" w:eastAsia="ca-ES"/>
        </w:rPr>
        <w:t>n de atele</w:t>
      </w:r>
      <w:r w:rsidR="001471DA" w:rsidRPr="00AF274C">
        <w:rPr>
          <w:rFonts w:cs="Tahoma"/>
          <w:sz w:val="18"/>
          <w:szCs w:val="18"/>
          <w:lang w:val="es-ES" w:eastAsia="ca-ES"/>
        </w:rPr>
        <w:t>ct</w:t>
      </w:r>
      <w:r w:rsidR="00B97A37" w:rsidRPr="00AF274C">
        <w:rPr>
          <w:rFonts w:cs="Tahoma"/>
          <w:sz w:val="18"/>
          <w:szCs w:val="18"/>
          <w:lang w:val="es-ES" w:eastAsia="ca-ES"/>
        </w:rPr>
        <w:t>asi</w:t>
      </w:r>
      <w:r>
        <w:rPr>
          <w:rFonts w:cs="Tahoma"/>
          <w:sz w:val="18"/>
          <w:szCs w:val="18"/>
          <w:lang w:val="es-ES" w:eastAsia="ca-ES"/>
        </w:rPr>
        <w:t>a</w:t>
      </w:r>
      <w:r w:rsidR="001471DA" w:rsidRPr="00AF274C">
        <w:rPr>
          <w:rFonts w:cs="Tahoma"/>
          <w:sz w:val="18"/>
          <w:szCs w:val="18"/>
          <w:lang w:val="es-ES" w:eastAsia="ca-ES"/>
        </w:rPr>
        <w:t>s en el marc</w:t>
      </w:r>
      <w:r>
        <w:rPr>
          <w:rFonts w:cs="Tahoma"/>
          <w:sz w:val="18"/>
          <w:szCs w:val="18"/>
          <w:lang w:val="es-ES" w:eastAsia="ca-ES"/>
        </w:rPr>
        <w:t xml:space="preserve">o de </w:t>
      </w:r>
      <w:r w:rsidR="001471DA" w:rsidRPr="00AF274C">
        <w:rPr>
          <w:rFonts w:cs="Tahoma"/>
          <w:sz w:val="18"/>
          <w:szCs w:val="18"/>
          <w:lang w:val="es-ES" w:eastAsia="ca-ES"/>
        </w:rPr>
        <w:t>una infecció</w:t>
      </w:r>
      <w:r>
        <w:rPr>
          <w:rFonts w:cs="Tahoma"/>
          <w:sz w:val="18"/>
          <w:szCs w:val="18"/>
          <w:lang w:val="es-ES" w:eastAsia="ca-ES"/>
        </w:rPr>
        <w:t>n</w:t>
      </w:r>
      <w:r w:rsidR="001471DA" w:rsidRPr="00AF274C">
        <w:rPr>
          <w:rFonts w:cs="Tahoma"/>
          <w:sz w:val="18"/>
          <w:szCs w:val="18"/>
          <w:lang w:val="es-ES" w:eastAsia="ca-ES"/>
        </w:rPr>
        <w:t xml:space="preserve"> respirat</w:t>
      </w:r>
      <w:r>
        <w:rPr>
          <w:rFonts w:cs="Tahoma"/>
          <w:sz w:val="18"/>
          <w:szCs w:val="18"/>
          <w:lang w:val="es-ES" w:eastAsia="ca-ES"/>
        </w:rPr>
        <w:t>o</w:t>
      </w:r>
      <w:r w:rsidR="001471DA" w:rsidRPr="00AF274C">
        <w:rPr>
          <w:rFonts w:cs="Tahoma"/>
          <w:sz w:val="18"/>
          <w:szCs w:val="18"/>
          <w:lang w:val="es-ES" w:eastAsia="ca-ES"/>
        </w:rPr>
        <w:t>ria viral.</w:t>
      </w:r>
    </w:p>
    <w:p w:rsidR="007054AF" w:rsidRPr="00AF274C" w:rsidRDefault="007054AF" w:rsidP="00A06D18">
      <w:pPr>
        <w:autoSpaceDE w:val="0"/>
        <w:autoSpaceDN w:val="0"/>
        <w:adjustRightInd w:val="0"/>
        <w:rPr>
          <w:rFonts w:cs="Tahoma"/>
          <w:sz w:val="18"/>
          <w:szCs w:val="18"/>
          <w:lang w:val="es-ES" w:eastAsia="ca-ES"/>
        </w:rPr>
      </w:pPr>
    </w:p>
    <w:p w:rsidR="00A06D18" w:rsidRPr="00AF274C" w:rsidRDefault="00A06D18" w:rsidP="00A06D18">
      <w:pPr>
        <w:autoSpaceDE w:val="0"/>
        <w:autoSpaceDN w:val="0"/>
        <w:adjustRightInd w:val="0"/>
        <w:rPr>
          <w:rFonts w:cs="Tahoma"/>
          <w:sz w:val="18"/>
          <w:szCs w:val="18"/>
          <w:lang w:val="es-ES" w:eastAsia="ca-ES"/>
        </w:rPr>
      </w:pPr>
    </w:p>
    <w:p w:rsidR="0045556B" w:rsidRPr="00AF274C" w:rsidRDefault="00581206" w:rsidP="00C4716E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Analgésicos</w:t>
      </w:r>
      <w:r w:rsidR="0045556B" w:rsidRPr="00AF274C">
        <w:rPr>
          <w:b/>
          <w:sz w:val="20"/>
          <w:szCs w:val="20"/>
          <w:lang w:val="es-ES"/>
        </w:rPr>
        <w:t xml:space="preserve"> </w:t>
      </w:r>
      <w:r w:rsidR="004F056C">
        <w:rPr>
          <w:b/>
          <w:sz w:val="20"/>
          <w:szCs w:val="20"/>
          <w:lang w:val="es-ES"/>
        </w:rPr>
        <w:t>opiáceo</w:t>
      </w:r>
      <w:r w:rsidR="0045556B" w:rsidRPr="00AF274C">
        <w:rPr>
          <w:b/>
          <w:sz w:val="20"/>
          <w:szCs w:val="20"/>
          <w:lang w:val="es-ES"/>
        </w:rPr>
        <w:t>s</w:t>
      </w:r>
    </w:p>
    <w:p w:rsidR="00A06D18" w:rsidRPr="00AF274C" w:rsidRDefault="00A06D18" w:rsidP="00A75EAE">
      <w:pPr>
        <w:rPr>
          <w:sz w:val="20"/>
          <w:szCs w:val="20"/>
          <w:lang w:val="es-ES"/>
        </w:rPr>
      </w:pPr>
    </w:p>
    <w:p w:rsidR="00A75EAE" w:rsidRPr="00AF274C" w:rsidRDefault="00030617" w:rsidP="00A75EAE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Lo</w:t>
      </w:r>
      <w:r w:rsidR="00A75EAE" w:rsidRPr="00AF274C">
        <w:rPr>
          <w:sz w:val="20"/>
          <w:szCs w:val="20"/>
          <w:lang w:val="es-ES"/>
        </w:rPr>
        <w:t xml:space="preserve">s </w:t>
      </w:r>
      <w:r w:rsidR="00581206">
        <w:rPr>
          <w:sz w:val="20"/>
          <w:szCs w:val="20"/>
          <w:lang w:val="es-ES"/>
        </w:rPr>
        <w:t>analgésicos</w:t>
      </w:r>
      <w:r w:rsidR="00A75EAE" w:rsidRPr="00AF274C">
        <w:rPr>
          <w:sz w:val="20"/>
          <w:szCs w:val="20"/>
          <w:lang w:val="es-ES"/>
        </w:rPr>
        <w:t xml:space="preserve"> </w:t>
      </w:r>
      <w:r w:rsidR="004F056C">
        <w:rPr>
          <w:sz w:val="20"/>
          <w:szCs w:val="20"/>
          <w:lang w:val="es-ES"/>
        </w:rPr>
        <w:t>opiáceos incrementa</w:t>
      </w:r>
      <w:r w:rsidR="00A75EAE" w:rsidRPr="00AF274C">
        <w:rPr>
          <w:sz w:val="20"/>
          <w:szCs w:val="20"/>
          <w:lang w:val="es-ES"/>
        </w:rPr>
        <w:t xml:space="preserve">n el </w:t>
      </w:r>
      <w:r w:rsidR="00AF274C">
        <w:rPr>
          <w:sz w:val="20"/>
          <w:szCs w:val="20"/>
          <w:lang w:val="es-ES"/>
        </w:rPr>
        <w:t>riesgo</w:t>
      </w:r>
      <w:r w:rsidR="00A75EAE" w:rsidRPr="00AF274C">
        <w:rPr>
          <w:sz w:val="20"/>
          <w:szCs w:val="20"/>
          <w:lang w:val="es-ES"/>
        </w:rPr>
        <w:t xml:space="preserve"> de </w:t>
      </w:r>
      <w:r w:rsidR="00AF274C">
        <w:rPr>
          <w:sz w:val="20"/>
          <w:szCs w:val="20"/>
          <w:lang w:val="es-ES"/>
        </w:rPr>
        <w:t>neumonía</w:t>
      </w:r>
      <w:r>
        <w:rPr>
          <w:sz w:val="20"/>
          <w:szCs w:val="20"/>
          <w:lang w:val="es-ES"/>
        </w:rPr>
        <w:t xml:space="preserve"> y</w:t>
      </w:r>
      <w:r w:rsidR="00A75EAE" w:rsidRPr="00AF274C">
        <w:rPr>
          <w:sz w:val="20"/>
          <w:szCs w:val="20"/>
          <w:lang w:val="es-ES"/>
        </w:rPr>
        <w:t xml:space="preserve"> la </w:t>
      </w:r>
      <w:r w:rsidR="004F056C">
        <w:rPr>
          <w:sz w:val="20"/>
          <w:szCs w:val="20"/>
          <w:lang w:val="es-ES"/>
        </w:rPr>
        <w:t>mortalidad respirato</w:t>
      </w:r>
      <w:r w:rsidR="00456684" w:rsidRPr="00AF274C">
        <w:rPr>
          <w:sz w:val="20"/>
          <w:szCs w:val="20"/>
          <w:lang w:val="es-ES"/>
        </w:rPr>
        <w:t>ria, en un 4</w:t>
      </w:r>
      <w:r w:rsidR="004F056C">
        <w:rPr>
          <w:sz w:val="20"/>
          <w:szCs w:val="20"/>
          <w:lang w:val="es-ES"/>
        </w:rPr>
        <w:t>0-75% sobre la c</w:t>
      </w:r>
      <w:r w:rsidR="00A75EAE" w:rsidRPr="00AF274C">
        <w:rPr>
          <w:sz w:val="20"/>
          <w:szCs w:val="20"/>
          <w:lang w:val="es-ES"/>
        </w:rPr>
        <w:t>ifra basal.</w:t>
      </w:r>
      <w:r w:rsidR="00A75EAE" w:rsidRPr="00AF274C">
        <w:rPr>
          <w:rStyle w:val="Refdenotaalfinal"/>
          <w:sz w:val="20"/>
          <w:szCs w:val="20"/>
          <w:lang w:val="es-ES"/>
        </w:rPr>
        <w:endnoteReference w:id="18"/>
      </w:r>
      <w:r w:rsidR="00456684" w:rsidRPr="00AF274C">
        <w:rPr>
          <w:sz w:val="20"/>
          <w:szCs w:val="20"/>
          <w:vertAlign w:val="superscript"/>
          <w:lang w:val="es-ES"/>
        </w:rPr>
        <w:t>,</w:t>
      </w:r>
      <w:r w:rsidR="00456684" w:rsidRPr="00AF274C">
        <w:rPr>
          <w:rStyle w:val="Refdenotaalfinal"/>
          <w:sz w:val="20"/>
          <w:szCs w:val="20"/>
          <w:lang w:val="es-ES"/>
        </w:rPr>
        <w:endnoteReference w:id="19"/>
      </w:r>
      <w:proofErr w:type="gramStart"/>
      <w:r w:rsidR="00456684" w:rsidRPr="00AF274C">
        <w:rPr>
          <w:sz w:val="20"/>
          <w:szCs w:val="20"/>
          <w:vertAlign w:val="superscript"/>
          <w:lang w:val="es-ES"/>
        </w:rPr>
        <w:t>,</w:t>
      </w:r>
      <w:proofErr w:type="gramEnd"/>
      <w:r w:rsidR="00456684" w:rsidRPr="00AF274C">
        <w:rPr>
          <w:rStyle w:val="Refdenotaalfinal"/>
          <w:sz w:val="20"/>
          <w:szCs w:val="20"/>
          <w:lang w:val="es-ES"/>
        </w:rPr>
        <w:endnoteReference w:id="20"/>
      </w:r>
      <w:r w:rsidR="00A75EAE" w:rsidRPr="00AF274C">
        <w:rPr>
          <w:sz w:val="20"/>
          <w:szCs w:val="20"/>
          <w:lang w:val="es-ES"/>
        </w:rPr>
        <w:t xml:space="preserve"> </w:t>
      </w:r>
    </w:p>
    <w:p w:rsidR="00A75EAE" w:rsidRPr="00AF274C" w:rsidRDefault="00A75EAE" w:rsidP="00A75EAE">
      <w:pPr>
        <w:rPr>
          <w:sz w:val="20"/>
          <w:szCs w:val="20"/>
          <w:lang w:val="es-ES"/>
        </w:rPr>
      </w:pPr>
    </w:p>
    <w:p w:rsidR="00A75EAE" w:rsidRPr="00AF274C" w:rsidRDefault="004F056C" w:rsidP="00A75EAE">
      <w:pPr>
        <w:ind w:left="426" w:hanging="142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</w:t>
      </w:r>
      <w:r w:rsidR="00A75EAE" w:rsidRPr="00AF274C">
        <w:rPr>
          <w:sz w:val="18"/>
          <w:szCs w:val="18"/>
          <w:lang w:val="es-ES"/>
        </w:rPr>
        <w:t xml:space="preserve">s </w:t>
      </w:r>
      <w:r w:rsidR="00581206">
        <w:rPr>
          <w:sz w:val="18"/>
          <w:szCs w:val="18"/>
          <w:lang w:val="es-ES"/>
        </w:rPr>
        <w:t>analgésicos</w:t>
      </w:r>
      <w:r w:rsidR="00A75EAE" w:rsidRPr="00AF274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opiáceo</w:t>
      </w:r>
      <w:r w:rsidR="00030617">
        <w:rPr>
          <w:sz w:val="18"/>
          <w:szCs w:val="18"/>
          <w:lang w:val="es-ES"/>
        </w:rPr>
        <w:t>s incrementa</w:t>
      </w:r>
      <w:r w:rsidR="00A75EAE" w:rsidRPr="00AF274C">
        <w:rPr>
          <w:sz w:val="18"/>
          <w:szCs w:val="18"/>
          <w:lang w:val="es-ES"/>
        </w:rPr>
        <w:t xml:space="preserve">n el </w:t>
      </w:r>
      <w:r w:rsidR="00AF274C">
        <w:rPr>
          <w:sz w:val="18"/>
          <w:szCs w:val="18"/>
          <w:lang w:val="es-ES"/>
        </w:rPr>
        <w:t>riesgo</w:t>
      </w:r>
      <w:r w:rsidR="00A75EAE" w:rsidRPr="00AF274C">
        <w:rPr>
          <w:sz w:val="18"/>
          <w:szCs w:val="18"/>
          <w:lang w:val="es-ES"/>
        </w:rPr>
        <w:t xml:space="preserve"> de </w:t>
      </w:r>
      <w:r w:rsidR="00AF274C">
        <w:rPr>
          <w:sz w:val="18"/>
          <w:szCs w:val="18"/>
          <w:lang w:val="es-ES"/>
        </w:rPr>
        <w:t>neumonía</w:t>
      </w:r>
      <w:r>
        <w:rPr>
          <w:sz w:val="18"/>
          <w:szCs w:val="18"/>
          <w:lang w:val="es-ES"/>
        </w:rPr>
        <w:t xml:space="preserve"> porque deprim</w:t>
      </w:r>
      <w:r w:rsidR="00A75EAE" w:rsidRPr="00AF274C">
        <w:rPr>
          <w:sz w:val="18"/>
          <w:szCs w:val="18"/>
          <w:lang w:val="es-ES"/>
        </w:rPr>
        <w:t>en la respiració</w:t>
      </w:r>
      <w:r>
        <w:rPr>
          <w:sz w:val="18"/>
          <w:szCs w:val="18"/>
          <w:lang w:val="es-ES"/>
        </w:rPr>
        <w:t>n y reduc</w:t>
      </w:r>
      <w:r w:rsidR="00A75EAE" w:rsidRPr="00AF274C">
        <w:rPr>
          <w:sz w:val="18"/>
          <w:szCs w:val="18"/>
          <w:lang w:val="es-ES"/>
        </w:rPr>
        <w:t>en la ventilació</w:t>
      </w:r>
      <w:r>
        <w:rPr>
          <w:sz w:val="18"/>
          <w:szCs w:val="18"/>
          <w:lang w:val="es-ES"/>
        </w:rPr>
        <w:t>n</w:t>
      </w:r>
      <w:r w:rsidR="00A75EAE" w:rsidRPr="00AF274C">
        <w:rPr>
          <w:sz w:val="18"/>
          <w:szCs w:val="18"/>
          <w:lang w:val="es-ES"/>
        </w:rPr>
        <w:t xml:space="preserve"> pulmonar; algun</w:t>
      </w:r>
      <w:r>
        <w:rPr>
          <w:sz w:val="18"/>
          <w:szCs w:val="18"/>
          <w:lang w:val="es-ES"/>
        </w:rPr>
        <w:t>os han mostrado tamb</w:t>
      </w:r>
      <w:r w:rsidR="00030617">
        <w:rPr>
          <w:sz w:val="18"/>
          <w:szCs w:val="18"/>
          <w:lang w:val="es-ES"/>
        </w:rPr>
        <w:t>i</w:t>
      </w:r>
      <w:r>
        <w:rPr>
          <w:sz w:val="18"/>
          <w:szCs w:val="18"/>
          <w:lang w:val="es-ES"/>
        </w:rPr>
        <w:t>é</w:t>
      </w:r>
      <w:r w:rsidR="00030617">
        <w:rPr>
          <w:sz w:val="18"/>
          <w:szCs w:val="18"/>
          <w:lang w:val="es-ES"/>
        </w:rPr>
        <w:t>n</w:t>
      </w:r>
      <w:r>
        <w:rPr>
          <w:sz w:val="18"/>
          <w:szCs w:val="18"/>
          <w:lang w:val="es-ES"/>
        </w:rPr>
        <w:t xml:space="preserve"> un efecto inmunosupresor, que tamb</w:t>
      </w:r>
      <w:r w:rsidR="00030617">
        <w:rPr>
          <w:sz w:val="18"/>
          <w:szCs w:val="18"/>
          <w:lang w:val="es-ES"/>
        </w:rPr>
        <w:t>i</w:t>
      </w:r>
      <w:r>
        <w:rPr>
          <w:sz w:val="18"/>
          <w:szCs w:val="18"/>
          <w:lang w:val="es-ES"/>
        </w:rPr>
        <w:t>é</w:t>
      </w:r>
      <w:r w:rsidR="00030617">
        <w:rPr>
          <w:sz w:val="18"/>
          <w:szCs w:val="18"/>
          <w:lang w:val="es-ES"/>
        </w:rPr>
        <w:t>n</w:t>
      </w:r>
      <w:r>
        <w:rPr>
          <w:sz w:val="18"/>
          <w:szCs w:val="18"/>
          <w:lang w:val="es-ES"/>
        </w:rPr>
        <w:t xml:space="preserve"> contribuirí</w:t>
      </w:r>
      <w:r w:rsidR="00A75EAE" w:rsidRPr="00AF274C">
        <w:rPr>
          <w:sz w:val="18"/>
          <w:szCs w:val="18"/>
          <w:lang w:val="es-ES"/>
        </w:rPr>
        <w:t xml:space="preserve">a al </w:t>
      </w:r>
      <w:r w:rsidR="00AF274C">
        <w:rPr>
          <w:sz w:val="18"/>
          <w:szCs w:val="18"/>
          <w:lang w:val="es-ES"/>
        </w:rPr>
        <w:t>riesgo</w:t>
      </w:r>
      <w:r w:rsidR="00A75EAE" w:rsidRPr="00AF274C">
        <w:rPr>
          <w:sz w:val="18"/>
          <w:szCs w:val="18"/>
          <w:lang w:val="es-ES"/>
        </w:rPr>
        <w:t xml:space="preserve"> de </w:t>
      </w:r>
      <w:r w:rsidR="00AF274C">
        <w:rPr>
          <w:sz w:val="18"/>
          <w:szCs w:val="18"/>
          <w:lang w:val="es-ES"/>
        </w:rPr>
        <w:t>neumonía</w:t>
      </w:r>
      <w:r w:rsidR="00A75EAE" w:rsidRPr="00AF274C">
        <w:rPr>
          <w:sz w:val="18"/>
          <w:szCs w:val="18"/>
          <w:lang w:val="es-ES"/>
        </w:rPr>
        <w:t>.</w:t>
      </w:r>
    </w:p>
    <w:p w:rsidR="00A06D18" w:rsidRPr="00AF274C" w:rsidRDefault="00A06D18" w:rsidP="00A75EAE">
      <w:pPr>
        <w:ind w:left="426" w:hanging="142"/>
        <w:rPr>
          <w:sz w:val="18"/>
          <w:szCs w:val="18"/>
          <w:lang w:val="es-ES"/>
        </w:rPr>
      </w:pPr>
    </w:p>
    <w:p w:rsidR="00456684" w:rsidRPr="00AF274C" w:rsidRDefault="00030617" w:rsidP="004F056C">
      <w:pPr>
        <w:ind w:left="426" w:hanging="142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lastRenderedPageBreak/>
        <w:t>En</w:t>
      </w:r>
      <w:r w:rsidR="00456684" w:rsidRPr="00AF274C">
        <w:rPr>
          <w:sz w:val="18"/>
          <w:szCs w:val="18"/>
          <w:lang w:val="es-ES"/>
        </w:rPr>
        <w:t xml:space="preserve"> </w:t>
      </w:r>
      <w:r w:rsidR="00AF274C">
        <w:rPr>
          <w:sz w:val="18"/>
          <w:szCs w:val="18"/>
          <w:lang w:val="es-ES"/>
        </w:rPr>
        <w:t>Cataluña</w:t>
      </w:r>
      <w:r w:rsidR="004F056C">
        <w:rPr>
          <w:sz w:val="18"/>
          <w:szCs w:val="18"/>
          <w:lang w:val="es-ES"/>
        </w:rPr>
        <w:t xml:space="preserve"> en 2016, 481.905 persona</w:t>
      </w:r>
      <w:r w:rsidR="00456684" w:rsidRPr="00AF274C">
        <w:rPr>
          <w:sz w:val="18"/>
          <w:szCs w:val="18"/>
          <w:lang w:val="es-ES"/>
        </w:rPr>
        <w:t>s (6,4% de la població</w:t>
      </w:r>
      <w:r w:rsidR="004F056C">
        <w:rPr>
          <w:sz w:val="18"/>
          <w:szCs w:val="18"/>
          <w:lang w:val="es-ES"/>
        </w:rPr>
        <w:t>n) recibieron</w:t>
      </w:r>
      <w:r w:rsidR="00456684" w:rsidRPr="00AF274C">
        <w:rPr>
          <w:sz w:val="18"/>
          <w:szCs w:val="18"/>
          <w:lang w:val="es-ES"/>
        </w:rPr>
        <w:t xml:space="preserve"> un </w:t>
      </w:r>
      <w:r w:rsidR="004F056C">
        <w:rPr>
          <w:sz w:val="18"/>
          <w:szCs w:val="18"/>
          <w:lang w:val="es-ES"/>
        </w:rPr>
        <w:t>analgésico</w:t>
      </w:r>
      <w:r w:rsidR="00456684" w:rsidRPr="00AF274C">
        <w:rPr>
          <w:sz w:val="18"/>
          <w:szCs w:val="18"/>
          <w:lang w:val="es-ES"/>
        </w:rPr>
        <w:t xml:space="preserve"> </w:t>
      </w:r>
      <w:r w:rsidR="004F056C">
        <w:rPr>
          <w:sz w:val="18"/>
          <w:szCs w:val="18"/>
          <w:lang w:val="es-ES"/>
        </w:rPr>
        <w:t>opiáceo</w:t>
      </w:r>
      <w:r w:rsidR="00A06D18" w:rsidRPr="00AF274C">
        <w:rPr>
          <w:sz w:val="18"/>
          <w:szCs w:val="18"/>
          <w:lang w:val="es-ES"/>
        </w:rPr>
        <w:t>; 54.000 person</w:t>
      </w:r>
      <w:r w:rsidR="004F056C">
        <w:rPr>
          <w:sz w:val="18"/>
          <w:szCs w:val="18"/>
          <w:lang w:val="es-ES"/>
        </w:rPr>
        <w:t>as recibieron dos de diferentes</w:t>
      </w:r>
      <w:r w:rsidR="00A06D18" w:rsidRPr="00AF274C">
        <w:rPr>
          <w:sz w:val="18"/>
          <w:szCs w:val="18"/>
          <w:lang w:val="es-ES"/>
        </w:rPr>
        <w:t xml:space="preserve">. Entre </w:t>
      </w:r>
      <w:r w:rsidR="004F056C">
        <w:rPr>
          <w:sz w:val="18"/>
          <w:szCs w:val="18"/>
          <w:lang w:val="es-ES"/>
        </w:rPr>
        <w:t>los</w:t>
      </w:r>
      <w:r w:rsidR="00A06D18" w:rsidRPr="00AF274C">
        <w:rPr>
          <w:sz w:val="18"/>
          <w:szCs w:val="18"/>
          <w:lang w:val="es-ES"/>
        </w:rPr>
        <w:t xml:space="preserve"> </w:t>
      </w:r>
      <w:r w:rsidR="00FA2E86">
        <w:rPr>
          <w:sz w:val="18"/>
          <w:szCs w:val="18"/>
          <w:lang w:val="es-ES"/>
        </w:rPr>
        <w:t>mayores de</w:t>
      </w:r>
      <w:r w:rsidR="00A06D18" w:rsidRPr="00AF274C">
        <w:rPr>
          <w:sz w:val="18"/>
          <w:szCs w:val="18"/>
          <w:lang w:val="es-ES"/>
        </w:rPr>
        <w:t xml:space="preserve"> 70 </w:t>
      </w:r>
      <w:r w:rsidR="00581206">
        <w:rPr>
          <w:sz w:val="18"/>
          <w:szCs w:val="18"/>
          <w:lang w:val="es-ES"/>
        </w:rPr>
        <w:t>años</w:t>
      </w:r>
      <w:r w:rsidR="004F056C">
        <w:rPr>
          <w:sz w:val="18"/>
          <w:szCs w:val="18"/>
          <w:lang w:val="es-ES"/>
        </w:rPr>
        <w:t>, el porcentaj</w:t>
      </w:r>
      <w:r w:rsidR="00A06D18" w:rsidRPr="00AF274C">
        <w:rPr>
          <w:sz w:val="18"/>
          <w:szCs w:val="18"/>
          <w:lang w:val="es-ES"/>
        </w:rPr>
        <w:t>e de població</w:t>
      </w:r>
      <w:r w:rsidR="004F056C">
        <w:rPr>
          <w:sz w:val="18"/>
          <w:szCs w:val="18"/>
          <w:lang w:val="es-ES"/>
        </w:rPr>
        <w:t>n que recibió</w:t>
      </w:r>
      <w:r w:rsidR="00A06D18" w:rsidRPr="00AF274C">
        <w:rPr>
          <w:sz w:val="18"/>
          <w:szCs w:val="18"/>
          <w:lang w:val="es-ES"/>
        </w:rPr>
        <w:t xml:space="preserve"> </w:t>
      </w:r>
      <w:r w:rsidR="004F056C">
        <w:rPr>
          <w:sz w:val="18"/>
          <w:szCs w:val="18"/>
          <w:lang w:val="es-ES"/>
        </w:rPr>
        <w:t>opiáceo</w:t>
      </w:r>
      <w:r>
        <w:rPr>
          <w:sz w:val="18"/>
          <w:szCs w:val="18"/>
          <w:lang w:val="es-ES"/>
        </w:rPr>
        <w:t>s varió</w:t>
      </w:r>
      <w:r w:rsidR="00A06D18" w:rsidRPr="00AF274C">
        <w:rPr>
          <w:sz w:val="18"/>
          <w:szCs w:val="18"/>
          <w:lang w:val="es-ES"/>
        </w:rPr>
        <w:t xml:space="preserve"> entre 12,7% (hom</w:t>
      </w:r>
      <w:r w:rsidR="004F056C">
        <w:rPr>
          <w:sz w:val="18"/>
          <w:szCs w:val="18"/>
          <w:lang w:val="es-ES"/>
        </w:rPr>
        <w:t>br</w:t>
      </w:r>
      <w:r w:rsidR="00A06D18" w:rsidRPr="00AF274C">
        <w:rPr>
          <w:sz w:val="18"/>
          <w:szCs w:val="18"/>
          <w:lang w:val="es-ES"/>
        </w:rPr>
        <w:t xml:space="preserve">es de 70-79 </w:t>
      </w:r>
      <w:r w:rsidR="00581206">
        <w:rPr>
          <w:sz w:val="18"/>
          <w:szCs w:val="18"/>
          <w:lang w:val="es-ES"/>
        </w:rPr>
        <w:t>años</w:t>
      </w:r>
      <w:r>
        <w:rPr>
          <w:sz w:val="18"/>
          <w:szCs w:val="18"/>
          <w:lang w:val="es-ES"/>
        </w:rPr>
        <w:t>) y</w:t>
      </w:r>
      <w:r w:rsidR="004F056C">
        <w:rPr>
          <w:sz w:val="18"/>
          <w:szCs w:val="18"/>
          <w:lang w:val="es-ES"/>
        </w:rPr>
        <w:t xml:space="preserve"> 32,7% (mujer</w:t>
      </w:r>
      <w:r w:rsidR="00A06D18" w:rsidRPr="00AF274C">
        <w:rPr>
          <w:sz w:val="18"/>
          <w:szCs w:val="18"/>
          <w:lang w:val="es-ES"/>
        </w:rPr>
        <w:t xml:space="preserve">es de &gt;90 </w:t>
      </w:r>
      <w:r w:rsidR="00581206">
        <w:rPr>
          <w:sz w:val="18"/>
          <w:szCs w:val="18"/>
          <w:lang w:val="es-ES"/>
        </w:rPr>
        <w:t>años</w:t>
      </w:r>
      <w:r w:rsidR="00A06D18" w:rsidRPr="00AF274C">
        <w:rPr>
          <w:sz w:val="18"/>
          <w:szCs w:val="18"/>
          <w:lang w:val="es-ES"/>
        </w:rPr>
        <w:t>).</w:t>
      </w:r>
      <w:r w:rsidR="00A06D18" w:rsidRPr="00AF274C">
        <w:rPr>
          <w:rStyle w:val="Refdenotaalfinal"/>
          <w:sz w:val="18"/>
          <w:szCs w:val="18"/>
          <w:lang w:val="es-ES"/>
        </w:rPr>
        <w:endnoteReference w:id="21"/>
      </w:r>
    </w:p>
    <w:p w:rsidR="00B97A37" w:rsidRPr="00AF274C" w:rsidRDefault="00B97A37" w:rsidP="00C4716E">
      <w:pPr>
        <w:rPr>
          <w:sz w:val="20"/>
          <w:szCs w:val="20"/>
          <w:lang w:val="es-ES"/>
        </w:rPr>
      </w:pPr>
    </w:p>
    <w:p w:rsidR="00A06D18" w:rsidRPr="00AF274C" w:rsidRDefault="00A06D18" w:rsidP="00C4716E">
      <w:pPr>
        <w:rPr>
          <w:sz w:val="20"/>
          <w:szCs w:val="20"/>
          <w:lang w:val="es-ES"/>
        </w:rPr>
      </w:pPr>
    </w:p>
    <w:p w:rsidR="0045556B" w:rsidRPr="00AF274C" w:rsidRDefault="0045556B" w:rsidP="00C4716E">
      <w:pPr>
        <w:rPr>
          <w:b/>
          <w:sz w:val="20"/>
          <w:szCs w:val="20"/>
          <w:lang w:val="es-ES"/>
        </w:rPr>
      </w:pPr>
      <w:r w:rsidRPr="00AF274C">
        <w:rPr>
          <w:b/>
          <w:sz w:val="20"/>
          <w:szCs w:val="20"/>
          <w:lang w:val="es-ES"/>
        </w:rPr>
        <w:t>Hipnosedant</w:t>
      </w:r>
      <w:r w:rsidR="00FA2E86">
        <w:rPr>
          <w:b/>
          <w:sz w:val="20"/>
          <w:szCs w:val="20"/>
          <w:lang w:val="es-ES"/>
        </w:rPr>
        <w:t>e</w:t>
      </w:r>
      <w:r w:rsidRPr="00AF274C">
        <w:rPr>
          <w:b/>
          <w:sz w:val="20"/>
          <w:szCs w:val="20"/>
          <w:lang w:val="es-ES"/>
        </w:rPr>
        <w:t>s</w:t>
      </w:r>
    </w:p>
    <w:p w:rsidR="00ED46C8" w:rsidRPr="00AF274C" w:rsidRDefault="00ED46C8" w:rsidP="00ED46C8">
      <w:pPr>
        <w:pStyle w:val="Prrafodelista"/>
        <w:rPr>
          <w:b/>
          <w:sz w:val="20"/>
          <w:szCs w:val="20"/>
          <w:lang w:val="es-ES"/>
        </w:rPr>
      </w:pPr>
    </w:p>
    <w:p w:rsidR="00982A39" w:rsidRPr="00AF274C" w:rsidRDefault="004F056C" w:rsidP="00A06D18">
      <w:pPr>
        <w:pStyle w:val="Prrafodelista"/>
        <w:ind w:left="0"/>
        <w:rPr>
          <w:rFonts w:cs="Tahoma"/>
          <w:noProof/>
          <w:sz w:val="20"/>
          <w:szCs w:val="20"/>
          <w:lang w:val="es-ES"/>
        </w:rPr>
      </w:pPr>
      <w:r w:rsidRPr="00030617">
        <w:rPr>
          <w:rFonts w:cs="Tahoma"/>
          <w:noProof/>
          <w:sz w:val="20"/>
          <w:szCs w:val="20"/>
          <w:lang w:val="es-ES"/>
        </w:rPr>
        <w:t>Los resultados</w:t>
      </w:r>
      <w:r w:rsidR="00982A39" w:rsidRPr="00030617">
        <w:rPr>
          <w:rFonts w:cs="Tahoma"/>
          <w:noProof/>
          <w:sz w:val="20"/>
          <w:szCs w:val="20"/>
          <w:lang w:val="es-ES"/>
        </w:rPr>
        <w:t xml:space="preserve"> de</w:t>
      </w:r>
      <w:r w:rsidRPr="00030617">
        <w:rPr>
          <w:rFonts w:cs="Tahoma"/>
          <w:noProof/>
          <w:sz w:val="20"/>
          <w:szCs w:val="20"/>
          <w:lang w:val="es-ES"/>
        </w:rPr>
        <w:t xml:space="preserve"> </w:t>
      </w:r>
      <w:r w:rsidR="00982A39" w:rsidRPr="00030617">
        <w:rPr>
          <w:rFonts w:cs="Tahoma"/>
          <w:noProof/>
          <w:sz w:val="20"/>
          <w:szCs w:val="20"/>
          <w:lang w:val="es-ES"/>
        </w:rPr>
        <w:t>l</w:t>
      </w:r>
      <w:r w:rsidRPr="00030617">
        <w:rPr>
          <w:rFonts w:cs="Tahoma"/>
          <w:noProof/>
          <w:sz w:val="20"/>
          <w:szCs w:val="20"/>
          <w:lang w:val="es-ES"/>
        </w:rPr>
        <w:t>o</w:t>
      </w:r>
      <w:r w:rsidR="00982A39" w:rsidRPr="00030617">
        <w:rPr>
          <w:rFonts w:cs="Tahoma"/>
          <w:noProof/>
          <w:sz w:val="20"/>
          <w:szCs w:val="20"/>
          <w:lang w:val="es-ES"/>
        </w:rPr>
        <w:t xml:space="preserve">s </w:t>
      </w:r>
      <w:r w:rsidR="00AF274C" w:rsidRPr="00030617">
        <w:rPr>
          <w:rFonts w:cs="Tahoma"/>
          <w:noProof/>
          <w:sz w:val="20"/>
          <w:szCs w:val="20"/>
          <w:lang w:val="es-ES"/>
        </w:rPr>
        <w:t>estudio</w:t>
      </w:r>
      <w:r w:rsidR="00982A39" w:rsidRPr="00030617">
        <w:rPr>
          <w:rFonts w:cs="Tahoma"/>
          <w:noProof/>
          <w:sz w:val="20"/>
          <w:szCs w:val="20"/>
          <w:lang w:val="es-ES"/>
        </w:rPr>
        <w:t xml:space="preserve">s sobre </w:t>
      </w:r>
      <w:r w:rsidR="00AF274C" w:rsidRPr="00030617">
        <w:rPr>
          <w:rFonts w:cs="Tahoma"/>
          <w:noProof/>
          <w:sz w:val="20"/>
          <w:szCs w:val="20"/>
          <w:lang w:val="es-ES"/>
        </w:rPr>
        <w:t>consumo</w:t>
      </w:r>
      <w:r w:rsidRPr="00030617">
        <w:rPr>
          <w:rFonts w:cs="Tahoma"/>
          <w:noProof/>
          <w:sz w:val="20"/>
          <w:szCs w:val="20"/>
          <w:lang w:val="es-ES"/>
        </w:rPr>
        <w:t xml:space="preserve"> de benzodiacepinas y</w:t>
      </w:r>
      <w:r w:rsidR="00982A39" w:rsidRPr="00030617">
        <w:rPr>
          <w:rFonts w:cs="Tahoma"/>
          <w:noProof/>
          <w:sz w:val="20"/>
          <w:szCs w:val="20"/>
          <w:lang w:val="es-ES"/>
        </w:rPr>
        <w:t xml:space="preserve"> </w:t>
      </w:r>
      <w:r w:rsidR="00AF274C" w:rsidRPr="00030617">
        <w:rPr>
          <w:rFonts w:cs="Tahoma"/>
          <w:noProof/>
          <w:sz w:val="20"/>
          <w:szCs w:val="20"/>
          <w:lang w:val="es-ES"/>
        </w:rPr>
        <w:t>riesgo</w:t>
      </w:r>
      <w:r w:rsidR="00982A39" w:rsidRPr="00030617">
        <w:rPr>
          <w:rFonts w:cs="Tahoma"/>
          <w:noProof/>
          <w:sz w:val="20"/>
          <w:szCs w:val="20"/>
          <w:lang w:val="es-ES"/>
        </w:rPr>
        <w:t xml:space="preserve"> de </w:t>
      </w:r>
      <w:r w:rsidR="00AF274C" w:rsidRPr="00030617">
        <w:rPr>
          <w:rFonts w:cs="Tahoma"/>
          <w:noProof/>
          <w:sz w:val="20"/>
          <w:szCs w:val="20"/>
          <w:lang w:val="es-ES"/>
        </w:rPr>
        <w:t>neumonía</w:t>
      </w:r>
      <w:r w:rsidR="00030617">
        <w:rPr>
          <w:rFonts w:cs="Tahoma"/>
          <w:noProof/>
          <w:sz w:val="20"/>
          <w:szCs w:val="20"/>
          <w:lang w:val="es-ES"/>
        </w:rPr>
        <w:t xml:space="preserve"> son en parte discordantes</w:t>
      </w:r>
      <w:r w:rsidR="00982A39" w:rsidRPr="00030617">
        <w:rPr>
          <w:rFonts w:cs="Tahoma"/>
          <w:noProof/>
          <w:sz w:val="20"/>
          <w:szCs w:val="20"/>
          <w:lang w:val="es-ES"/>
        </w:rPr>
        <w:t>.</w:t>
      </w:r>
      <w:r w:rsidR="00A747BA" w:rsidRPr="00030617">
        <w:rPr>
          <w:rStyle w:val="Refdenotaalfinal"/>
          <w:rFonts w:cs="Tahoma"/>
          <w:noProof/>
          <w:sz w:val="20"/>
          <w:szCs w:val="20"/>
          <w:lang w:val="es-ES"/>
        </w:rPr>
        <w:endnoteReference w:id="22"/>
      </w:r>
      <w:r w:rsidR="00982A39" w:rsidRPr="00030617">
        <w:rPr>
          <w:rFonts w:cs="Tahoma"/>
          <w:noProof/>
          <w:sz w:val="20"/>
          <w:szCs w:val="20"/>
          <w:lang w:val="es-ES"/>
        </w:rPr>
        <w:t xml:space="preserve"> En un </w:t>
      </w:r>
      <w:r w:rsidR="00AF274C" w:rsidRPr="00030617">
        <w:rPr>
          <w:rFonts w:cs="Tahoma"/>
          <w:noProof/>
          <w:sz w:val="20"/>
          <w:szCs w:val="20"/>
          <w:lang w:val="es-ES"/>
        </w:rPr>
        <w:t>estudio</w:t>
      </w:r>
      <w:r w:rsidRPr="00030617">
        <w:rPr>
          <w:rFonts w:cs="Tahoma"/>
          <w:noProof/>
          <w:sz w:val="20"/>
          <w:szCs w:val="20"/>
          <w:lang w:val="es-ES"/>
        </w:rPr>
        <w:t xml:space="preserve"> se halló un au</w:t>
      </w:r>
      <w:r w:rsidR="00982A39" w:rsidRPr="00030617">
        <w:rPr>
          <w:rFonts w:cs="Tahoma"/>
          <w:noProof/>
          <w:sz w:val="20"/>
          <w:szCs w:val="20"/>
          <w:lang w:val="es-ES"/>
        </w:rPr>
        <w:t>ment</w:t>
      </w:r>
      <w:r w:rsidRPr="00030617">
        <w:rPr>
          <w:rFonts w:cs="Tahoma"/>
          <w:noProof/>
          <w:sz w:val="20"/>
          <w:szCs w:val="20"/>
          <w:lang w:val="es-ES"/>
        </w:rPr>
        <w:t>o</w:t>
      </w:r>
      <w:r w:rsidR="00982A39" w:rsidRPr="00030617">
        <w:rPr>
          <w:rFonts w:cs="Tahoma"/>
          <w:noProof/>
          <w:sz w:val="20"/>
          <w:szCs w:val="20"/>
          <w:lang w:val="es-ES"/>
        </w:rPr>
        <w:t xml:space="preserve"> del </w:t>
      </w:r>
      <w:r w:rsidR="00AF274C" w:rsidRPr="00030617">
        <w:rPr>
          <w:rFonts w:cs="Tahoma"/>
          <w:noProof/>
          <w:sz w:val="20"/>
          <w:szCs w:val="20"/>
          <w:lang w:val="es-ES"/>
        </w:rPr>
        <w:t>riesgo</w:t>
      </w:r>
      <w:r w:rsidR="00982A39" w:rsidRPr="00030617">
        <w:rPr>
          <w:rFonts w:cs="Tahoma"/>
          <w:noProof/>
          <w:sz w:val="20"/>
          <w:szCs w:val="20"/>
          <w:lang w:val="es-ES"/>
        </w:rPr>
        <w:t xml:space="preserve"> de 54%.</w:t>
      </w:r>
      <w:r w:rsidR="00982A39" w:rsidRPr="00030617">
        <w:rPr>
          <w:rStyle w:val="Refdenotaalfinal"/>
          <w:rFonts w:cs="Tahoma"/>
          <w:noProof/>
          <w:sz w:val="20"/>
          <w:szCs w:val="20"/>
          <w:lang w:val="es-ES"/>
        </w:rPr>
        <w:endnoteReference w:id="23"/>
      </w:r>
      <w:r w:rsidRPr="00030617">
        <w:rPr>
          <w:rFonts w:cs="Tahoma"/>
          <w:noProof/>
          <w:sz w:val="20"/>
          <w:szCs w:val="20"/>
          <w:lang w:val="es-ES"/>
        </w:rPr>
        <w:t xml:space="preserve"> En otro</w:t>
      </w:r>
      <w:r w:rsidR="00982A39" w:rsidRPr="00030617">
        <w:rPr>
          <w:rFonts w:cs="Tahoma"/>
          <w:noProof/>
          <w:sz w:val="20"/>
          <w:szCs w:val="20"/>
          <w:lang w:val="es-ES"/>
        </w:rPr>
        <w:t xml:space="preserve"> de 20%</w:t>
      </w:r>
      <w:r w:rsidR="00A747BA" w:rsidRPr="00030617">
        <w:rPr>
          <w:rFonts w:cs="Tahoma"/>
          <w:noProof/>
          <w:sz w:val="20"/>
          <w:szCs w:val="20"/>
          <w:lang w:val="es-ES"/>
        </w:rPr>
        <w:t>.</w:t>
      </w:r>
      <w:r w:rsidR="00A747BA" w:rsidRPr="00AF274C">
        <w:rPr>
          <w:rStyle w:val="Refdenotaalfinal"/>
          <w:rFonts w:cs="Tahoma"/>
          <w:noProof/>
          <w:sz w:val="20"/>
          <w:szCs w:val="20"/>
          <w:lang w:val="es-ES"/>
        </w:rPr>
        <w:endnoteReference w:id="24"/>
      </w:r>
    </w:p>
    <w:p w:rsidR="00A10828" w:rsidRPr="00AF274C" w:rsidRDefault="00AF274C" w:rsidP="00A747BA">
      <w:pPr>
        <w:rPr>
          <w:rFonts w:cs="Tahoma"/>
          <w:noProof/>
          <w:sz w:val="20"/>
          <w:szCs w:val="20"/>
          <w:lang w:val="es-ES"/>
        </w:rPr>
      </w:pPr>
      <w:r>
        <w:rPr>
          <w:rFonts w:cs="Tahoma"/>
          <w:noProof/>
          <w:sz w:val="20"/>
          <w:szCs w:val="20"/>
          <w:lang w:val="es-ES"/>
        </w:rPr>
        <w:t>Varios</w:t>
      </w:r>
      <w:r w:rsidR="00C158C0" w:rsidRPr="00AF274C">
        <w:rPr>
          <w:rFonts w:cs="Tahoma"/>
          <w:noProof/>
          <w:sz w:val="20"/>
          <w:szCs w:val="20"/>
          <w:lang w:val="es-ES"/>
        </w:rPr>
        <w:t xml:space="preserve"> </w:t>
      </w:r>
      <w:r>
        <w:rPr>
          <w:rFonts w:cs="Tahoma"/>
          <w:noProof/>
          <w:sz w:val="20"/>
          <w:szCs w:val="20"/>
          <w:lang w:val="es-ES"/>
        </w:rPr>
        <w:t>estudio</w:t>
      </w:r>
      <w:r w:rsidR="004F056C">
        <w:rPr>
          <w:rFonts w:cs="Tahoma"/>
          <w:noProof/>
          <w:sz w:val="20"/>
          <w:szCs w:val="20"/>
          <w:lang w:val="es-ES"/>
        </w:rPr>
        <w:t>s han mostrado</w:t>
      </w:r>
      <w:r w:rsidR="00C158C0" w:rsidRPr="00AF274C">
        <w:rPr>
          <w:rFonts w:cs="Tahoma"/>
          <w:noProof/>
          <w:sz w:val="20"/>
          <w:szCs w:val="20"/>
          <w:lang w:val="es-ES"/>
        </w:rPr>
        <w:t xml:space="preserve"> increment</w:t>
      </w:r>
      <w:r w:rsidR="004F056C">
        <w:rPr>
          <w:rFonts w:cs="Tahoma"/>
          <w:noProof/>
          <w:sz w:val="20"/>
          <w:szCs w:val="20"/>
          <w:lang w:val="es-ES"/>
        </w:rPr>
        <w:t>o</w:t>
      </w:r>
      <w:r w:rsidR="00C158C0" w:rsidRPr="00AF274C">
        <w:rPr>
          <w:rFonts w:cs="Tahoma"/>
          <w:noProof/>
          <w:sz w:val="20"/>
          <w:szCs w:val="20"/>
          <w:lang w:val="es-ES"/>
        </w:rPr>
        <w:t>s important</w:t>
      </w:r>
      <w:r w:rsidR="004F056C">
        <w:rPr>
          <w:rFonts w:cs="Tahoma"/>
          <w:noProof/>
          <w:sz w:val="20"/>
          <w:szCs w:val="20"/>
          <w:lang w:val="es-ES"/>
        </w:rPr>
        <w:t>e</w:t>
      </w:r>
      <w:r w:rsidR="00C158C0" w:rsidRPr="00AF274C">
        <w:rPr>
          <w:rFonts w:cs="Tahoma"/>
          <w:noProof/>
          <w:sz w:val="20"/>
          <w:szCs w:val="20"/>
          <w:lang w:val="es-ES"/>
        </w:rPr>
        <w:t xml:space="preserve">s del </w:t>
      </w:r>
      <w:r>
        <w:rPr>
          <w:rFonts w:cs="Tahoma"/>
          <w:noProof/>
          <w:sz w:val="20"/>
          <w:szCs w:val="20"/>
          <w:lang w:val="es-ES"/>
        </w:rPr>
        <w:t>riesgo</w:t>
      </w:r>
      <w:r w:rsidR="00C158C0" w:rsidRPr="00AF274C">
        <w:rPr>
          <w:rFonts w:cs="Tahoma"/>
          <w:noProof/>
          <w:sz w:val="20"/>
          <w:szCs w:val="20"/>
          <w:lang w:val="es-ES"/>
        </w:rPr>
        <w:t xml:space="preserve"> de </w:t>
      </w:r>
      <w:r>
        <w:rPr>
          <w:rFonts w:cs="Tahoma"/>
          <w:noProof/>
          <w:sz w:val="20"/>
          <w:szCs w:val="20"/>
          <w:lang w:val="es-ES"/>
        </w:rPr>
        <w:t>neumonía</w:t>
      </w:r>
      <w:r w:rsidR="004F056C">
        <w:rPr>
          <w:rFonts w:cs="Tahoma"/>
          <w:noProof/>
          <w:sz w:val="20"/>
          <w:szCs w:val="20"/>
          <w:lang w:val="es-ES"/>
        </w:rPr>
        <w:t xml:space="preserve"> en persona</w:t>
      </w:r>
      <w:r w:rsidR="00C158C0" w:rsidRPr="00AF274C">
        <w:rPr>
          <w:rFonts w:cs="Tahoma"/>
          <w:noProof/>
          <w:sz w:val="20"/>
          <w:szCs w:val="20"/>
          <w:lang w:val="es-ES"/>
        </w:rPr>
        <w:t>s qu</w:t>
      </w:r>
      <w:r w:rsidR="004F056C">
        <w:rPr>
          <w:rFonts w:cs="Tahoma"/>
          <w:noProof/>
          <w:sz w:val="20"/>
          <w:szCs w:val="20"/>
          <w:lang w:val="es-ES"/>
        </w:rPr>
        <w:t>e toman</w:t>
      </w:r>
      <w:r w:rsidR="00C158C0" w:rsidRPr="00AF274C">
        <w:rPr>
          <w:rFonts w:cs="Tahoma"/>
          <w:noProof/>
          <w:sz w:val="20"/>
          <w:szCs w:val="20"/>
          <w:lang w:val="es-ES"/>
        </w:rPr>
        <w:t xml:space="preserve"> </w:t>
      </w:r>
      <w:r w:rsidR="004F056C">
        <w:rPr>
          <w:rFonts w:cs="Tahoma"/>
          <w:noProof/>
          <w:sz w:val="20"/>
          <w:szCs w:val="20"/>
          <w:lang w:val="es-ES"/>
        </w:rPr>
        <w:t>f</w:t>
      </w:r>
      <w:r w:rsidR="00B9771E">
        <w:rPr>
          <w:rFonts w:cs="Tahoma"/>
          <w:noProof/>
          <w:sz w:val="20"/>
          <w:szCs w:val="20"/>
          <w:lang w:val="es-ES"/>
        </w:rPr>
        <w:t>ármacos</w:t>
      </w:r>
      <w:r w:rsidR="00C158C0" w:rsidRPr="00AF274C">
        <w:rPr>
          <w:rFonts w:cs="Tahoma"/>
          <w:noProof/>
          <w:sz w:val="20"/>
          <w:szCs w:val="20"/>
          <w:lang w:val="es-ES"/>
        </w:rPr>
        <w:t xml:space="preserve"> </w:t>
      </w:r>
      <w:r>
        <w:rPr>
          <w:rFonts w:cs="Tahoma"/>
          <w:noProof/>
          <w:sz w:val="20"/>
          <w:szCs w:val="20"/>
          <w:lang w:val="es-ES"/>
        </w:rPr>
        <w:t>hipnóticos</w:t>
      </w:r>
      <w:r w:rsidR="00030617">
        <w:rPr>
          <w:rFonts w:cs="Tahoma"/>
          <w:noProof/>
          <w:sz w:val="20"/>
          <w:szCs w:val="20"/>
          <w:lang w:val="es-ES"/>
        </w:rPr>
        <w:t xml:space="preserve"> y</w:t>
      </w:r>
      <w:r w:rsidR="004F056C">
        <w:rPr>
          <w:rFonts w:cs="Tahoma"/>
          <w:noProof/>
          <w:sz w:val="20"/>
          <w:szCs w:val="20"/>
          <w:lang w:val="es-ES"/>
        </w:rPr>
        <w:t xml:space="preserve"> sedant</w:t>
      </w:r>
      <w:r w:rsidR="00030617">
        <w:rPr>
          <w:rFonts w:cs="Tahoma"/>
          <w:noProof/>
          <w:sz w:val="20"/>
          <w:szCs w:val="20"/>
          <w:lang w:val="es-ES"/>
        </w:rPr>
        <w:t>e</w:t>
      </w:r>
      <w:r w:rsidR="004F056C">
        <w:rPr>
          <w:rFonts w:cs="Tahoma"/>
          <w:noProof/>
          <w:sz w:val="20"/>
          <w:szCs w:val="20"/>
          <w:lang w:val="es-ES"/>
        </w:rPr>
        <w:t>s junto con</w:t>
      </w:r>
      <w:r w:rsidR="00C158C0" w:rsidRPr="00AF274C">
        <w:rPr>
          <w:rFonts w:cs="Tahoma"/>
          <w:noProof/>
          <w:sz w:val="20"/>
          <w:szCs w:val="20"/>
          <w:lang w:val="es-ES"/>
        </w:rPr>
        <w:t xml:space="preserve"> </w:t>
      </w:r>
      <w:r w:rsidR="00581206">
        <w:rPr>
          <w:rFonts w:cs="Tahoma"/>
          <w:noProof/>
          <w:sz w:val="20"/>
          <w:szCs w:val="20"/>
          <w:lang w:val="es-ES"/>
        </w:rPr>
        <w:t>otros</w:t>
      </w:r>
      <w:r w:rsidR="004F056C">
        <w:rPr>
          <w:rFonts w:cs="Tahoma"/>
          <w:noProof/>
          <w:sz w:val="20"/>
          <w:szCs w:val="20"/>
          <w:lang w:val="es-ES"/>
        </w:rPr>
        <w:t xml:space="preserve"> depre</w:t>
      </w:r>
      <w:r w:rsidR="00C158C0" w:rsidRPr="00AF274C">
        <w:rPr>
          <w:rFonts w:cs="Tahoma"/>
          <w:noProof/>
          <w:sz w:val="20"/>
          <w:szCs w:val="20"/>
          <w:lang w:val="es-ES"/>
        </w:rPr>
        <w:t>sor</w:t>
      </w:r>
      <w:r w:rsidR="004F056C">
        <w:rPr>
          <w:rFonts w:cs="Tahoma"/>
          <w:noProof/>
          <w:sz w:val="20"/>
          <w:szCs w:val="20"/>
          <w:lang w:val="es-ES"/>
        </w:rPr>
        <w:t>e</w:t>
      </w:r>
      <w:r w:rsidR="00C158C0" w:rsidRPr="00AF274C">
        <w:rPr>
          <w:rFonts w:cs="Tahoma"/>
          <w:noProof/>
          <w:sz w:val="20"/>
          <w:szCs w:val="20"/>
          <w:lang w:val="es-ES"/>
        </w:rPr>
        <w:t>s de</w:t>
      </w:r>
      <w:r w:rsidR="004F056C">
        <w:rPr>
          <w:rFonts w:cs="Tahoma"/>
          <w:noProof/>
          <w:sz w:val="20"/>
          <w:szCs w:val="20"/>
          <w:lang w:val="es-ES"/>
        </w:rPr>
        <w:t xml:space="preserve"> sistema nervioso central (opiáceo</w:t>
      </w:r>
      <w:r w:rsidR="00C158C0" w:rsidRPr="00AF274C">
        <w:rPr>
          <w:rFonts w:cs="Tahoma"/>
          <w:noProof/>
          <w:sz w:val="20"/>
          <w:szCs w:val="20"/>
          <w:lang w:val="es-ES"/>
        </w:rPr>
        <w:t xml:space="preserve">s, gabapentinoides). </w:t>
      </w:r>
    </w:p>
    <w:p w:rsidR="00A06D18" w:rsidRPr="00AF274C" w:rsidRDefault="00A06D18" w:rsidP="00A747BA">
      <w:pPr>
        <w:rPr>
          <w:rFonts w:cs="Tahoma"/>
          <w:noProof/>
          <w:sz w:val="20"/>
          <w:szCs w:val="20"/>
          <w:lang w:val="es-ES"/>
        </w:rPr>
      </w:pPr>
    </w:p>
    <w:p w:rsidR="00777746" w:rsidRPr="00AF274C" w:rsidRDefault="00777746" w:rsidP="00A747BA">
      <w:pPr>
        <w:rPr>
          <w:rFonts w:cs="Tahoma"/>
          <w:noProof/>
          <w:sz w:val="20"/>
          <w:szCs w:val="20"/>
          <w:lang w:val="es-ES"/>
        </w:rPr>
      </w:pPr>
    </w:p>
    <w:p w:rsidR="00A10828" w:rsidRPr="00AF274C" w:rsidRDefault="00FA2E86" w:rsidP="00C4716E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Antidepresivo</w:t>
      </w:r>
      <w:r w:rsidR="00035F84">
        <w:rPr>
          <w:b/>
          <w:sz w:val="20"/>
          <w:szCs w:val="20"/>
          <w:lang w:val="es-ES"/>
        </w:rPr>
        <w:t>s</w:t>
      </w:r>
    </w:p>
    <w:p w:rsidR="003860FE" w:rsidRDefault="003860FE" w:rsidP="0069554B">
      <w:pPr>
        <w:rPr>
          <w:sz w:val="18"/>
          <w:szCs w:val="18"/>
          <w:lang w:val="es-ES"/>
        </w:rPr>
      </w:pPr>
    </w:p>
    <w:p w:rsidR="00030617" w:rsidRPr="00AF274C" w:rsidRDefault="00030617" w:rsidP="0069554B">
      <w:p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 un reciente estudio en más de 130.000 pacientes con EPOC se halló un aumento de</w:t>
      </w:r>
      <w:r w:rsidR="00035F84">
        <w:rPr>
          <w:sz w:val="18"/>
          <w:szCs w:val="18"/>
          <w:lang w:val="es-ES"/>
        </w:rPr>
        <w:t xml:space="preserve"> un 15% del</w:t>
      </w:r>
      <w:r>
        <w:rPr>
          <w:sz w:val="18"/>
          <w:szCs w:val="18"/>
          <w:lang w:val="es-ES"/>
        </w:rPr>
        <w:t xml:space="preserve"> riesgo de neumonía</w:t>
      </w:r>
      <w:r w:rsidR="00035F84">
        <w:rPr>
          <w:sz w:val="18"/>
          <w:szCs w:val="18"/>
          <w:lang w:val="es-ES"/>
        </w:rPr>
        <w:t xml:space="preserve"> y de un 26% de la mortalidad por neumonía, en los consumidores de antidepresivos.</w:t>
      </w:r>
      <w:r w:rsidR="00035F84">
        <w:rPr>
          <w:rStyle w:val="Refdenotaalfinal"/>
          <w:sz w:val="18"/>
          <w:szCs w:val="18"/>
          <w:lang w:val="es-ES"/>
        </w:rPr>
        <w:endnoteReference w:id="25"/>
      </w:r>
      <w:r w:rsidR="00035F84">
        <w:rPr>
          <w:sz w:val="18"/>
          <w:szCs w:val="18"/>
          <w:lang w:val="es-ES"/>
        </w:rPr>
        <w:t xml:space="preserve"> En otros estudios se ha apreciado un incremento del riesgo en consumidores de antidepresivos junto con otros fármacos depresores de sistema nervioso.</w:t>
      </w:r>
    </w:p>
    <w:p w:rsidR="00A10828" w:rsidRPr="00AF274C" w:rsidRDefault="00A10828" w:rsidP="00C4716E">
      <w:pPr>
        <w:rPr>
          <w:sz w:val="20"/>
          <w:szCs w:val="20"/>
          <w:lang w:val="es-ES"/>
        </w:rPr>
      </w:pPr>
    </w:p>
    <w:p w:rsidR="00A06D18" w:rsidRPr="00AF274C" w:rsidRDefault="00A06D18" w:rsidP="00C4716E">
      <w:pPr>
        <w:rPr>
          <w:sz w:val="20"/>
          <w:szCs w:val="20"/>
          <w:lang w:val="es-ES"/>
        </w:rPr>
      </w:pPr>
    </w:p>
    <w:p w:rsidR="00A10828" w:rsidRPr="00AF274C" w:rsidRDefault="00035F84" w:rsidP="00C4716E">
      <w:pPr>
        <w:rPr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Gabapentina y</w:t>
      </w:r>
      <w:r w:rsidR="00A10828" w:rsidRPr="00AF274C">
        <w:rPr>
          <w:b/>
          <w:sz w:val="20"/>
          <w:szCs w:val="20"/>
          <w:lang w:val="es-ES"/>
        </w:rPr>
        <w:t xml:space="preserve"> pregabalina</w:t>
      </w:r>
    </w:p>
    <w:p w:rsidR="006D32B7" w:rsidRPr="00AF274C" w:rsidRDefault="006D32B7" w:rsidP="00A10828">
      <w:pPr>
        <w:rPr>
          <w:rFonts w:cs="Tahoma"/>
          <w:sz w:val="20"/>
          <w:szCs w:val="20"/>
          <w:lang w:val="es-ES"/>
        </w:rPr>
      </w:pPr>
    </w:p>
    <w:p w:rsidR="003630C4" w:rsidRPr="00AF274C" w:rsidRDefault="004F056C" w:rsidP="00A10828">
      <w:pPr>
        <w:rPr>
          <w:rFonts w:cs="Tahoma"/>
          <w:noProof/>
          <w:sz w:val="20"/>
          <w:szCs w:val="20"/>
          <w:lang w:val="es-ES"/>
        </w:rPr>
      </w:pPr>
      <w:r>
        <w:rPr>
          <w:rFonts w:cs="Tahoma"/>
          <w:sz w:val="20"/>
          <w:szCs w:val="20"/>
          <w:lang w:val="es-ES"/>
        </w:rPr>
        <w:t>En dici</w:t>
      </w:r>
      <w:r w:rsidR="00B9771E">
        <w:rPr>
          <w:rFonts w:cs="Tahoma"/>
          <w:sz w:val="20"/>
          <w:szCs w:val="20"/>
          <w:lang w:val="es-ES"/>
        </w:rPr>
        <w:t>embre de 2019 la FDA advirtió</w:t>
      </w:r>
      <w:r w:rsidR="00C158C0" w:rsidRPr="00AF274C">
        <w:rPr>
          <w:rFonts w:cs="Tahoma"/>
          <w:sz w:val="20"/>
          <w:szCs w:val="20"/>
          <w:lang w:val="es-ES"/>
        </w:rPr>
        <w:t xml:space="preserve"> que</w:t>
      </w:r>
      <w:r w:rsidR="00B9771E">
        <w:rPr>
          <w:rFonts w:cs="Tahoma"/>
          <w:sz w:val="20"/>
          <w:szCs w:val="20"/>
          <w:lang w:val="es-ES"/>
        </w:rPr>
        <w:t xml:space="preserve"> </w:t>
      </w:r>
      <w:r w:rsidR="00C158C0" w:rsidRPr="00AF274C">
        <w:rPr>
          <w:rFonts w:cs="Tahoma"/>
          <w:sz w:val="20"/>
          <w:szCs w:val="20"/>
          <w:lang w:val="es-ES"/>
        </w:rPr>
        <w:t>l</w:t>
      </w:r>
      <w:r w:rsidR="00B9771E">
        <w:rPr>
          <w:rFonts w:cs="Tahoma"/>
          <w:sz w:val="20"/>
          <w:szCs w:val="20"/>
          <w:lang w:val="es-ES"/>
        </w:rPr>
        <w:t>o</w:t>
      </w:r>
      <w:r w:rsidR="003630C4" w:rsidRPr="00AF274C">
        <w:rPr>
          <w:rFonts w:cs="Tahoma"/>
          <w:sz w:val="20"/>
          <w:szCs w:val="20"/>
          <w:lang w:val="es-ES"/>
        </w:rPr>
        <w:t>s ga</w:t>
      </w:r>
      <w:r w:rsidR="00A10828" w:rsidRPr="00AF274C">
        <w:rPr>
          <w:rFonts w:cs="Tahoma"/>
          <w:sz w:val="20"/>
          <w:szCs w:val="20"/>
          <w:lang w:val="es-ES"/>
        </w:rPr>
        <w:t>bapentinoid</w:t>
      </w:r>
      <w:r w:rsidR="003630C4" w:rsidRPr="00AF274C">
        <w:rPr>
          <w:rFonts w:cs="Tahoma"/>
          <w:sz w:val="20"/>
          <w:szCs w:val="20"/>
          <w:lang w:val="es-ES"/>
        </w:rPr>
        <w:t xml:space="preserve">es </w:t>
      </w:r>
      <w:r>
        <w:rPr>
          <w:rFonts w:cs="Tahoma"/>
          <w:sz w:val="20"/>
          <w:szCs w:val="20"/>
          <w:lang w:val="es-ES"/>
        </w:rPr>
        <w:t>au</w:t>
      </w:r>
      <w:r w:rsidR="00B9771E">
        <w:rPr>
          <w:rFonts w:cs="Tahoma"/>
          <w:sz w:val="20"/>
          <w:szCs w:val="20"/>
          <w:lang w:val="es-ES"/>
        </w:rPr>
        <w:t>menta</w:t>
      </w:r>
      <w:r w:rsidR="00C158C0" w:rsidRPr="00AF274C">
        <w:rPr>
          <w:rFonts w:cs="Tahoma"/>
          <w:sz w:val="20"/>
          <w:szCs w:val="20"/>
          <w:lang w:val="es-ES"/>
        </w:rPr>
        <w:t>n</w:t>
      </w:r>
      <w:r w:rsidR="003630C4" w:rsidRPr="00AF274C">
        <w:rPr>
          <w:rFonts w:cs="Tahoma"/>
          <w:sz w:val="20"/>
          <w:szCs w:val="20"/>
          <w:lang w:val="es-ES"/>
        </w:rPr>
        <w:t xml:space="preserve"> el </w:t>
      </w:r>
      <w:r w:rsidR="00AF274C">
        <w:rPr>
          <w:rFonts w:cs="Tahoma"/>
          <w:sz w:val="20"/>
          <w:szCs w:val="20"/>
          <w:lang w:val="es-ES"/>
        </w:rPr>
        <w:t>riesgo</w:t>
      </w:r>
      <w:r w:rsidR="003630C4" w:rsidRPr="00AF274C">
        <w:rPr>
          <w:rFonts w:cs="Tahoma"/>
          <w:sz w:val="20"/>
          <w:szCs w:val="20"/>
          <w:lang w:val="es-ES"/>
        </w:rPr>
        <w:t xml:space="preserve"> de </w:t>
      </w:r>
      <w:r w:rsidR="00AF274C">
        <w:rPr>
          <w:rFonts w:cs="Tahoma"/>
          <w:sz w:val="20"/>
          <w:szCs w:val="20"/>
          <w:lang w:val="es-ES"/>
        </w:rPr>
        <w:t>neumonía</w:t>
      </w:r>
      <w:r w:rsidR="00035F84">
        <w:rPr>
          <w:rFonts w:cs="Tahoma"/>
          <w:sz w:val="20"/>
          <w:szCs w:val="20"/>
          <w:lang w:val="es-ES"/>
        </w:rPr>
        <w:t xml:space="preserve"> y</w:t>
      </w:r>
      <w:r w:rsidR="003630C4" w:rsidRPr="00AF274C">
        <w:rPr>
          <w:rFonts w:cs="Tahoma"/>
          <w:sz w:val="20"/>
          <w:szCs w:val="20"/>
          <w:lang w:val="es-ES"/>
        </w:rPr>
        <w:t xml:space="preserve"> d</w:t>
      </w:r>
      <w:r w:rsidR="00B9771E">
        <w:rPr>
          <w:rFonts w:cs="Tahoma"/>
          <w:sz w:val="20"/>
          <w:szCs w:val="20"/>
          <w:lang w:val="es-ES"/>
        </w:rPr>
        <w:t>e insuficiencia respiratoria grave</w:t>
      </w:r>
      <w:r w:rsidR="00035F84">
        <w:rPr>
          <w:rFonts w:cs="Tahoma"/>
          <w:sz w:val="20"/>
          <w:szCs w:val="20"/>
          <w:lang w:val="es-ES"/>
        </w:rPr>
        <w:t xml:space="preserve"> y</w:t>
      </w:r>
      <w:r w:rsidR="003630C4" w:rsidRPr="00AF274C">
        <w:rPr>
          <w:rFonts w:cs="Tahoma"/>
          <w:sz w:val="20"/>
          <w:szCs w:val="20"/>
          <w:lang w:val="es-ES"/>
        </w:rPr>
        <w:t xml:space="preserve"> mortal</w:t>
      </w:r>
      <w:r w:rsidR="00C158C0" w:rsidRPr="00AF274C">
        <w:rPr>
          <w:rFonts w:cs="Tahoma"/>
          <w:sz w:val="20"/>
          <w:szCs w:val="20"/>
          <w:lang w:val="es-ES"/>
        </w:rPr>
        <w:t xml:space="preserve">, </w:t>
      </w:r>
      <w:r w:rsidR="00B9771E">
        <w:rPr>
          <w:rFonts w:cs="Tahoma"/>
          <w:b/>
          <w:sz w:val="20"/>
          <w:szCs w:val="20"/>
          <w:lang w:val="es-ES"/>
        </w:rPr>
        <w:t>sobre todo</w:t>
      </w:r>
      <w:r w:rsidR="00C158C0" w:rsidRPr="00AF274C">
        <w:rPr>
          <w:rFonts w:cs="Tahoma"/>
          <w:b/>
          <w:sz w:val="20"/>
          <w:szCs w:val="20"/>
          <w:lang w:val="es-ES"/>
        </w:rPr>
        <w:t xml:space="preserve"> </w:t>
      </w:r>
      <w:r w:rsidR="00B9771E">
        <w:rPr>
          <w:rFonts w:cs="Tahoma"/>
          <w:b/>
          <w:sz w:val="20"/>
          <w:szCs w:val="20"/>
          <w:lang w:val="es-ES"/>
        </w:rPr>
        <w:t>cuando so</w:t>
      </w:r>
      <w:r w:rsidR="006D32B7" w:rsidRPr="00AF274C">
        <w:rPr>
          <w:rFonts w:cs="Tahoma"/>
          <w:b/>
          <w:sz w:val="20"/>
          <w:szCs w:val="20"/>
          <w:lang w:val="es-ES"/>
        </w:rPr>
        <w:t xml:space="preserve">n </w:t>
      </w:r>
      <w:r w:rsidR="00B9771E">
        <w:rPr>
          <w:rFonts w:cs="Tahoma"/>
          <w:b/>
          <w:sz w:val="20"/>
          <w:szCs w:val="20"/>
          <w:lang w:val="es-ES"/>
        </w:rPr>
        <w:t>consumidos junto con</w:t>
      </w:r>
      <w:r w:rsidR="006D32B7" w:rsidRPr="00AF274C">
        <w:rPr>
          <w:rFonts w:cs="Tahoma"/>
          <w:b/>
          <w:sz w:val="20"/>
          <w:szCs w:val="20"/>
          <w:lang w:val="es-ES"/>
        </w:rPr>
        <w:t xml:space="preserve"> </w:t>
      </w:r>
      <w:r w:rsidR="00581206">
        <w:rPr>
          <w:rFonts w:cs="Tahoma"/>
          <w:b/>
          <w:sz w:val="20"/>
          <w:szCs w:val="20"/>
          <w:lang w:val="es-ES"/>
        </w:rPr>
        <w:t>analgésicos</w:t>
      </w:r>
      <w:r w:rsidR="00B9771E">
        <w:rPr>
          <w:rFonts w:cs="Tahoma"/>
          <w:b/>
          <w:sz w:val="20"/>
          <w:szCs w:val="20"/>
          <w:lang w:val="es-ES"/>
        </w:rPr>
        <w:t xml:space="preserve"> opiáceo</w:t>
      </w:r>
      <w:r w:rsidR="006D32B7" w:rsidRPr="00AF274C">
        <w:rPr>
          <w:rFonts w:cs="Tahoma"/>
          <w:b/>
          <w:sz w:val="20"/>
          <w:szCs w:val="20"/>
          <w:lang w:val="es-ES"/>
        </w:rPr>
        <w:t xml:space="preserve">s, </w:t>
      </w:r>
      <w:r w:rsidR="00AF274C">
        <w:rPr>
          <w:rFonts w:cs="Tahoma"/>
          <w:b/>
          <w:sz w:val="20"/>
          <w:szCs w:val="20"/>
          <w:lang w:val="es-ES"/>
        </w:rPr>
        <w:t>hipnóticos</w:t>
      </w:r>
      <w:r w:rsidR="00B9771E">
        <w:rPr>
          <w:rFonts w:cs="Tahoma"/>
          <w:b/>
          <w:sz w:val="20"/>
          <w:szCs w:val="20"/>
          <w:lang w:val="es-ES"/>
        </w:rPr>
        <w:t xml:space="preserve"> y</w:t>
      </w:r>
      <w:r w:rsidR="006D32B7" w:rsidRPr="00AF274C">
        <w:rPr>
          <w:rFonts w:cs="Tahoma"/>
          <w:b/>
          <w:sz w:val="20"/>
          <w:szCs w:val="20"/>
          <w:lang w:val="es-ES"/>
        </w:rPr>
        <w:t xml:space="preserve"> sedant</w:t>
      </w:r>
      <w:r w:rsidR="00B9771E">
        <w:rPr>
          <w:rFonts w:cs="Tahoma"/>
          <w:b/>
          <w:sz w:val="20"/>
          <w:szCs w:val="20"/>
          <w:lang w:val="es-ES"/>
        </w:rPr>
        <w:t>e</w:t>
      </w:r>
      <w:r w:rsidR="006D32B7" w:rsidRPr="00AF274C">
        <w:rPr>
          <w:rFonts w:cs="Tahoma"/>
          <w:b/>
          <w:sz w:val="20"/>
          <w:szCs w:val="20"/>
          <w:lang w:val="es-ES"/>
        </w:rPr>
        <w:t xml:space="preserve">s, </w:t>
      </w:r>
      <w:r w:rsidR="00FA2E86">
        <w:rPr>
          <w:rFonts w:cs="Tahoma"/>
          <w:b/>
          <w:sz w:val="20"/>
          <w:szCs w:val="20"/>
          <w:lang w:val="es-ES"/>
        </w:rPr>
        <w:t>antidepresivo</w:t>
      </w:r>
      <w:r w:rsidR="00B9771E">
        <w:rPr>
          <w:rFonts w:cs="Tahoma"/>
          <w:b/>
          <w:sz w:val="20"/>
          <w:szCs w:val="20"/>
          <w:lang w:val="es-ES"/>
        </w:rPr>
        <w:t>s y</w:t>
      </w:r>
      <w:r w:rsidR="006D32B7" w:rsidRPr="00AF274C">
        <w:rPr>
          <w:rFonts w:cs="Tahoma"/>
          <w:b/>
          <w:sz w:val="20"/>
          <w:szCs w:val="20"/>
          <w:lang w:val="es-ES"/>
        </w:rPr>
        <w:t xml:space="preserve"> antihistamínic</w:t>
      </w:r>
      <w:r w:rsidR="00B9771E">
        <w:rPr>
          <w:rFonts w:cs="Tahoma"/>
          <w:b/>
          <w:sz w:val="20"/>
          <w:szCs w:val="20"/>
          <w:lang w:val="es-ES"/>
        </w:rPr>
        <w:t>o</w:t>
      </w:r>
      <w:r w:rsidR="006D32B7" w:rsidRPr="00AF274C">
        <w:rPr>
          <w:rFonts w:cs="Tahoma"/>
          <w:b/>
          <w:sz w:val="20"/>
          <w:szCs w:val="20"/>
          <w:lang w:val="es-ES"/>
        </w:rPr>
        <w:t>s</w:t>
      </w:r>
      <w:r w:rsidR="003630C4" w:rsidRPr="00AF274C">
        <w:rPr>
          <w:rFonts w:cs="Tahoma"/>
          <w:sz w:val="20"/>
          <w:szCs w:val="20"/>
          <w:lang w:val="es-ES"/>
        </w:rPr>
        <w:t>.</w:t>
      </w:r>
      <w:r w:rsidR="006D32B7" w:rsidRPr="00AF274C">
        <w:rPr>
          <w:rStyle w:val="Refdenotaalfinal"/>
          <w:rFonts w:cs="Tahoma"/>
          <w:sz w:val="20"/>
          <w:szCs w:val="20"/>
          <w:lang w:val="es-ES"/>
        </w:rPr>
        <w:endnoteReference w:id="26"/>
      </w:r>
      <w:r w:rsidR="006D32B7" w:rsidRPr="00AF274C">
        <w:rPr>
          <w:rFonts w:cs="Tahoma"/>
          <w:sz w:val="20"/>
          <w:szCs w:val="20"/>
          <w:lang w:val="es-ES"/>
        </w:rPr>
        <w:t xml:space="preserve"> </w:t>
      </w:r>
    </w:p>
    <w:p w:rsidR="00C158C0" w:rsidRPr="00AF274C" w:rsidRDefault="00C158C0" w:rsidP="00A10828">
      <w:pPr>
        <w:rPr>
          <w:rFonts w:cs="Tahoma"/>
          <w:noProof/>
          <w:sz w:val="20"/>
          <w:szCs w:val="20"/>
          <w:lang w:val="es-ES"/>
        </w:rPr>
      </w:pPr>
    </w:p>
    <w:p w:rsidR="002A3A51" w:rsidRPr="00AF274C" w:rsidRDefault="00B9771E" w:rsidP="003860FE">
      <w:pPr>
        <w:ind w:left="426" w:hanging="142"/>
        <w:rPr>
          <w:rFonts w:cs="Tahoma"/>
          <w:sz w:val="18"/>
          <w:szCs w:val="18"/>
          <w:lang w:val="es-ES"/>
        </w:rPr>
      </w:pPr>
      <w:r>
        <w:rPr>
          <w:rFonts w:cs="Tahoma"/>
          <w:sz w:val="18"/>
          <w:szCs w:val="18"/>
          <w:lang w:val="es-ES"/>
        </w:rPr>
        <w:t>La ficha té</w:t>
      </w:r>
      <w:r w:rsidR="002A3A51" w:rsidRPr="00AF274C">
        <w:rPr>
          <w:rFonts w:cs="Tahoma"/>
          <w:sz w:val="18"/>
          <w:szCs w:val="18"/>
          <w:lang w:val="es-ES"/>
        </w:rPr>
        <w:t xml:space="preserve">cnica de la gabapentina informa que la </w:t>
      </w:r>
      <w:r w:rsidR="00AF274C" w:rsidRPr="00035F84">
        <w:rPr>
          <w:rFonts w:cs="Tahoma"/>
          <w:b/>
          <w:sz w:val="18"/>
          <w:szCs w:val="18"/>
          <w:lang w:val="es-ES"/>
        </w:rPr>
        <w:t>incidencia</w:t>
      </w:r>
      <w:r w:rsidRPr="00035F84">
        <w:rPr>
          <w:rFonts w:cs="Tahoma"/>
          <w:b/>
          <w:sz w:val="18"/>
          <w:szCs w:val="18"/>
          <w:lang w:val="es-ES"/>
        </w:rPr>
        <w:t xml:space="preserve"> de </w:t>
      </w:r>
      <w:r w:rsidR="002A3A51" w:rsidRPr="00035F84">
        <w:rPr>
          <w:rFonts w:cs="Tahoma"/>
          <w:b/>
          <w:sz w:val="18"/>
          <w:szCs w:val="18"/>
          <w:lang w:val="es-ES"/>
        </w:rPr>
        <w:t>infeccion</w:t>
      </w:r>
      <w:r w:rsidRPr="00035F84">
        <w:rPr>
          <w:rFonts w:cs="Tahoma"/>
          <w:b/>
          <w:sz w:val="18"/>
          <w:szCs w:val="18"/>
          <w:lang w:val="es-ES"/>
        </w:rPr>
        <w:t>e</w:t>
      </w:r>
      <w:r w:rsidR="002A3A51" w:rsidRPr="00035F84">
        <w:rPr>
          <w:rFonts w:cs="Tahoma"/>
          <w:b/>
          <w:sz w:val="18"/>
          <w:szCs w:val="18"/>
          <w:lang w:val="es-ES"/>
        </w:rPr>
        <w:t>s viral</w:t>
      </w:r>
      <w:r w:rsidRPr="00035F84">
        <w:rPr>
          <w:rFonts w:cs="Tahoma"/>
          <w:b/>
          <w:sz w:val="18"/>
          <w:szCs w:val="18"/>
          <w:lang w:val="es-ES"/>
        </w:rPr>
        <w:t>es es “muy</w:t>
      </w:r>
      <w:r w:rsidR="002A3A51" w:rsidRPr="00035F84">
        <w:rPr>
          <w:rFonts w:cs="Tahoma"/>
          <w:b/>
          <w:sz w:val="18"/>
          <w:szCs w:val="18"/>
          <w:lang w:val="es-ES"/>
        </w:rPr>
        <w:t xml:space="preserve"> </w:t>
      </w:r>
      <w:r w:rsidR="00581206" w:rsidRPr="00035F84">
        <w:rPr>
          <w:rFonts w:cs="Tahoma"/>
          <w:b/>
          <w:sz w:val="18"/>
          <w:szCs w:val="18"/>
          <w:lang w:val="es-ES"/>
        </w:rPr>
        <w:t>frecuente</w:t>
      </w:r>
      <w:r w:rsidRPr="00035F84">
        <w:rPr>
          <w:rFonts w:cs="Tahoma"/>
          <w:b/>
          <w:sz w:val="18"/>
          <w:szCs w:val="18"/>
          <w:lang w:val="es-ES"/>
        </w:rPr>
        <w:t>” (má</w:t>
      </w:r>
      <w:r w:rsidR="002A3A51" w:rsidRPr="00035F84">
        <w:rPr>
          <w:rFonts w:cs="Tahoma"/>
          <w:b/>
          <w:sz w:val="18"/>
          <w:szCs w:val="18"/>
          <w:lang w:val="es-ES"/>
        </w:rPr>
        <w:t xml:space="preserve">s </w:t>
      </w:r>
      <w:r w:rsidR="00035F84">
        <w:rPr>
          <w:rFonts w:cs="Tahoma"/>
          <w:b/>
          <w:sz w:val="18"/>
          <w:szCs w:val="18"/>
          <w:lang w:val="es-ES"/>
        </w:rPr>
        <w:t>de 1 de cada 10 persona</w:t>
      </w:r>
      <w:r w:rsidRPr="00035F84">
        <w:rPr>
          <w:rFonts w:cs="Tahoma"/>
          <w:b/>
          <w:sz w:val="18"/>
          <w:szCs w:val="18"/>
          <w:lang w:val="es-ES"/>
        </w:rPr>
        <w:t>s tratada</w:t>
      </w:r>
      <w:r w:rsidR="002A3A51" w:rsidRPr="00035F84">
        <w:rPr>
          <w:rFonts w:cs="Tahoma"/>
          <w:b/>
          <w:sz w:val="18"/>
          <w:szCs w:val="18"/>
          <w:lang w:val="es-ES"/>
        </w:rPr>
        <w:t>s)</w:t>
      </w:r>
      <w:r w:rsidR="00035F84">
        <w:rPr>
          <w:rFonts w:cs="Tahoma"/>
          <w:sz w:val="18"/>
          <w:szCs w:val="18"/>
          <w:lang w:val="es-ES"/>
        </w:rPr>
        <w:t xml:space="preserve"> y</w:t>
      </w:r>
      <w:r w:rsidR="002A3A51" w:rsidRPr="00AF274C">
        <w:rPr>
          <w:rFonts w:cs="Tahoma"/>
          <w:sz w:val="18"/>
          <w:szCs w:val="18"/>
          <w:lang w:val="es-ES"/>
        </w:rPr>
        <w:t xml:space="preserve"> que la </w:t>
      </w:r>
      <w:r w:rsidR="00AF274C">
        <w:rPr>
          <w:rFonts w:cs="Tahoma"/>
          <w:sz w:val="18"/>
          <w:szCs w:val="18"/>
          <w:lang w:val="es-ES"/>
        </w:rPr>
        <w:t>incidencia</w:t>
      </w:r>
      <w:r w:rsidR="002A3A51" w:rsidRPr="00AF274C">
        <w:rPr>
          <w:rFonts w:cs="Tahoma"/>
          <w:sz w:val="18"/>
          <w:szCs w:val="18"/>
          <w:lang w:val="es-ES"/>
        </w:rPr>
        <w:t xml:space="preserve"> de </w:t>
      </w:r>
      <w:r w:rsidR="00AF274C">
        <w:rPr>
          <w:rFonts w:cs="Tahoma"/>
          <w:sz w:val="18"/>
          <w:szCs w:val="18"/>
          <w:lang w:val="es-ES"/>
        </w:rPr>
        <w:t>neumonía</w:t>
      </w:r>
      <w:r>
        <w:rPr>
          <w:rFonts w:cs="Tahoma"/>
          <w:sz w:val="18"/>
          <w:szCs w:val="18"/>
          <w:lang w:val="es-ES"/>
        </w:rPr>
        <w:t xml:space="preserve"> y de </w:t>
      </w:r>
      <w:r w:rsidR="002A3A51" w:rsidRPr="00AF274C">
        <w:rPr>
          <w:rFonts w:cs="Tahoma"/>
          <w:sz w:val="18"/>
          <w:szCs w:val="18"/>
          <w:lang w:val="es-ES"/>
        </w:rPr>
        <w:t>infecció</w:t>
      </w:r>
      <w:r>
        <w:rPr>
          <w:rFonts w:cs="Tahoma"/>
          <w:sz w:val="18"/>
          <w:szCs w:val="18"/>
          <w:lang w:val="es-ES"/>
        </w:rPr>
        <w:t>n respirato</w:t>
      </w:r>
      <w:r w:rsidR="002A3A51" w:rsidRPr="00AF274C">
        <w:rPr>
          <w:rFonts w:cs="Tahoma"/>
          <w:sz w:val="18"/>
          <w:szCs w:val="18"/>
          <w:lang w:val="es-ES"/>
        </w:rPr>
        <w:t>ria es “</w:t>
      </w:r>
      <w:r w:rsidR="00581206">
        <w:rPr>
          <w:rFonts w:cs="Tahoma"/>
          <w:sz w:val="18"/>
          <w:szCs w:val="18"/>
          <w:lang w:val="es-ES"/>
        </w:rPr>
        <w:t>frecuente</w:t>
      </w:r>
      <w:r w:rsidR="002A3A51" w:rsidRPr="00AF274C">
        <w:rPr>
          <w:rFonts w:cs="Tahoma"/>
          <w:sz w:val="18"/>
          <w:szCs w:val="18"/>
          <w:lang w:val="es-ES"/>
        </w:rPr>
        <w:t xml:space="preserve">” (entre 1 de cada </w:t>
      </w:r>
      <w:r w:rsidR="00035F84">
        <w:rPr>
          <w:rFonts w:cs="Tahoma"/>
          <w:sz w:val="18"/>
          <w:szCs w:val="18"/>
          <w:lang w:val="es-ES"/>
        </w:rPr>
        <w:t>10 y 1 de cada 100 persona</w:t>
      </w:r>
      <w:r>
        <w:rPr>
          <w:rFonts w:cs="Tahoma"/>
          <w:sz w:val="18"/>
          <w:szCs w:val="18"/>
          <w:lang w:val="es-ES"/>
        </w:rPr>
        <w:t>s tratada</w:t>
      </w:r>
      <w:r w:rsidR="002A3A51" w:rsidRPr="00AF274C">
        <w:rPr>
          <w:rFonts w:cs="Tahoma"/>
          <w:sz w:val="18"/>
          <w:szCs w:val="18"/>
          <w:lang w:val="es-ES"/>
        </w:rPr>
        <w:t xml:space="preserve">s). </w:t>
      </w:r>
    </w:p>
    <w:p w:rsidR="002A3A51" w:rsidRPr="00AF274C" w:rsidRDefault="002A3A51" w:rsidP="003860FE">
      <w:pPr>
        <w:ind w:left="426" w:hanging="142"/>
        <w:rPr>
          <w:rFonts w:cs="Tahoma"/>
          <w:sz w:val="18"/>
          <w:szCs w:val="18"/>
          <w:lang w:val="es-ES"/>
        </w:rPr>
      </w:pPr>
    </w:p>
    <w:p w:rsidR="002A3A51" w:rsidRPr="00AF274C" w:rsidRDefault="00B9771E" w:rsidP="003860FE">
      <w:pPr>
        <w:ind w:left="426" w:hanging="142"/>
        <w:rPr>
          <w:rFonts w:cs="Tahoma"/>
          <w:sz w:val="18"/>
          <w:szCs w:val="18"/>
          <w:lang w:val="es-ES"/>
        </w:rPr>
      </w:pPr>
      <w:r>
        <w:rPr>
          <w:rFonts w:cs="Tahoma"/>
          <w:sz w:val="18"/>
          <w:szCs w:val="18"/>
          <w:lang w:val="es-ES"/>
        </w:rPr>
        <w:t>La ficha té</w:t>
      </w:r>
      <w:r w:rsidR="002A3A51" w:rsidRPr="00AF274C">
        <w:rPr>
          <w:rFonts w:cs="Tahoma"/>
          <w:sz w:val="18"/>
          <w:szCs w:val="18"/>
          <w:lang w:val="es-ES"/>
        </w:rPr>
        <w:t>cnica de prega</w:t>
      </w:r>
      <w:r>
        <w:rPr>
          <w:rFonts w:cs="Tahoma"/>
          <w:sz w:val="18"/>
          <w:szCs w:val="18"/>
          <w:lang w:val="es-ES"/>
        </w:rPr>
        <w:t xml:space="preserve">balina afirma que en </w:t>
      </w:r>
      <w:r w:rsidR="002A3A51" w:rsidRPr="00AF274C">
        <w:rPr>
          <w:rFonts w:cs="Tahoma"/>
          <w:sz w:val="18"/>
          <w:szCs w:val="18"/>
          <w:lang w:val="es-ES"/>
        </w:rPr>
        <w:t>l</w:t>
      </w:r>
      <w:r>
        <w:rPr>
          <w:rFonts w:cs="Tahoma"/>
          <w:sz w:val="18"/>
          <w:szCs w:val="18"/>
          <w:lang w:val="es-ES"/>
        </w:rPr>
        <w:t>o</w:t>
      </w:r>
      <w:r w:rsidR="002A3A51" w:rsidRPr="00AF274C">
        <w:rPr>
          <w:rFonts w:cs="Tahoma"/>
          <w:sz w:val="18"/>
          <w:szCs w:val="18"/>
          <w:lang w:val="es-ES"/>
        </w:rPr>
        <w:t>s pacient</w:t>
      </w:r>
      <w:r>
        <w:rPr>
          <w:rFonts w:cs="Tahoma"/>
          <w:sz w:val="18"/>
          <w:szCs w:val="18"/>
          <w:lang w:val="es-ES"/>
        </w:rPr>
        <w:t>e</w:t>
      </w:r>
      <w:r w:rsidR="002A3A51" w:rsidRPr="00AF274C">
        <w:rPr>
          <w:rFonts w:cs="Tahoma"/>
          <w:sz w:val="18"/>
          <w:szCs w:val="18"/>
          <w:lang w:val="es-ES"/>
        </w:rPr>
        <w:t xml:space="preserve">s </w:t>
      </w:r>
      <w:r w:rsidR="0008726F">
        <w:rPr>
          <w:rFonts w:cs="Tahoma"/>
          <w:sz w:val="18"/>
          <w:szCs w:val="18"/>
          <w:lang w:val="es-ES"/>
        </w:rPr>
        <w:t>tratados</w:t>
      </w:r>
      <w:r>
        <w:rPr>
          <w:rFonts w:cs="Tahoma"/>
          <w:sz w:val="18"/>
          <w:szCs w:val="18"/>
          <w:lang w:val="es-ES"/>
        </w:rPr>
        <w:t xml:space="preserve"> con este</w:t>
      </w:r>
      <w:r w:rsidR="002A3A51" w:rsidRPr="00AF274C">
        <w:rPr>
          <w:rFonts w:cs="Tahoma"/>
          <w:sz w:val="18"/>
          <w:szCs w:val="18"/>
          <w:lang w:val="es-ES"/>
        </w:rPr>
        <w:t xml:space="preserve"> </w:t>
      </w:r>
      <w:r w:rsidR="00581206">
        <w:rPr>
          <w:rFonts w:cs="Tahoma"/>
          <w:sz w:val="18"/>
          <w:szCs w:val="18"/>
          <w:lang w:val="es-ES"/>
        </w:rPr>
        <w:t>fármaco</w:t>
      </w:r>
      <w:r>
        <w:rPr>
          <w:rFonts w:cs="Tahoma"/>
          <w:sz w:val="18"/>
          <w:szCs w:val="18"/>
          <w:lang w:val="es-ES"/>
        </w:rPr>
        <w:t xml:space="preserve"> </w:t>
      </w:r>
      <w:r w:rsidRPr="00035F84">
        <w:rPr>
          <w:rFonts w:cs="Tahoma"/>
          <w:b/>
          <w:sz w:val="18"/>
          <w:szCs w:val="18"/>
          <w:lang w:val="es-ES"/>
        </w:rPr>
        <w:t>la rinofaringitis e</w:t>
      </w:r>
      <w:r w:rsidR="002A3A51" w:rsidRPr="00035F84">
        <w:rPr>
          <w:rFonts w:cs="Tahoma"/>
          <w:b/>
          <w:sz w:val="18"/>
          <w:szCs w:val="18"/>
          <w:lang w:val="es-ES"/>
        </w:rPr>
        <w:t>s “</w:t>
      </w:r>
      <w:r w:rsidR="00581206" w:rsidRPr="00035F84">
        <w:rPr>
          <w:rFonts w:cs="Tahoma"/>
          <w:b/>
          <w:sz w:val="18"/>
          <w:szCs w:val="18"/>
          <w:lang w:val="es-ES"/>
        </w:rPr>
        <w:t>frecuente</w:t>
      </w:r>
      <w:r w:rsidR="002A3A51" w:rsidRPr="00035F84">
        <w:rPr>
          <w:rFonts w:cs="Tahoma"/>
          <w:b/>
          <w:sz w:val="18"/>
          <w:szCs w:val="18"/>
          <w:lang w:val="es-ES"/>
        </w:rPr>
        <w:t>” (entre 1/10 i 1/100)</w:t>
      </w:r>
      <w:r w:rsidR="002A3A51" w:rsidRPr="00AF274C">
        <w:rPr>
          <w:rFonts w:cs="Tahoma"/>
          <w:sz w:val="18"/>
          <w:szCs w:val="18"/>
          <w:lang w:val="es-ES"/>
        </w:rPr>
        <w:t>.</w:t>
      </w:r>
    </w:p>
    <w:p w:rsidR="002A3A51" w:rsidRPr="00AF274C" w:rsidRDefault="002A3A51" w:rsidP="003860FE">
      <w:pPr>
        <w:ind w:left="426" w:hanging="142"/>
        <w:rPr>
          <w:rFonts w:cs="Tahoma"/>
          <w:noProof/>
          <w:sz w:val="18"/>
          <w:szCs w:val="18"/>
          <w:lang w:val="es-ES"/>
        </w:rPr>
      </w:pPr>
    </w:p>
    <w:p w:rsidR="00C158C0" w:rsidRPr="00AF274C" w:rsidRDefault="00C158C0" w:rsidP="002A3A51">
      <w:pPr>
        <w:ind w:left="426" w:hanging="142"/>
        <w:rPr>
          <w:rFonts w:cs="Tahoma"/>
          <w:sz w:val="18"/>
          <w:szCs w:val="18"/>
          <w:lang w:val="es-ES"/>
        </w:rPr>
      </w:pPr>
      <w:r w:rsidRPr="00AF274C">
        <w:rPr>
          <w:rFonts w:cs="Tahoma"/>
          <w:noProof/>
          <w:sz w:val="18"/>
          <w:szCs w:val="18"/>
          <w:lang w:val="es-ES"/>
        </w:rPr>
        <w:t xml:space="preserve">Gabapentina i pregabalina </w:t>
      </w:r>
      <w:r w:rsidR="006D32B7" w:rsidRPr="00AF274C">
        <w:rPr>
          <w:rFonts w:cs="Tahoma"/>
          <w:noProof/>
          <w:sz w:val="18"/>
          <w:szCs w:val="18"/>
          <w:lang w:val="es-ES"/>
        </w:rPr>
        <w:t xml:space="preserve">tenen una eficàcia molt limitada en el </w:t>
      </w:r>
      <w:r w:rsidR="00AF274C">
        <w:rPr>
          <w:rFonts w:cs="Tahoma"/>
          <w:noProof/>
          <w:sz w:val="18"/>
          <w:szCs w:val="18"/>
          <w:lang w:val="es-ES"/>
        </w:rPr>
        <w:t>tratamiento</w:t>
      </w:r>
      <w:r w:rsidR="006D32B7" w:rsidRPr="00AF274C">
        <w:rPr>
          <w:rFonts w:cs="Tahoma"/>
          <w:noProof/>
          <w:sz w:val="18"/>
          <w:szCs w:val="18"/>
          <w:lang w:val="es-ES"/>
        </w:rPr>
        <w:t xml:space="preserve"> del dolor neuropàtic, i </w:t>
      </w:r>
      <w:r w:rsidRPr="00AF274C">
        <w:rPr>
          <w:rFonts w:cs="Tahoma"/>
          <w:noProof/>
          <w:sz w:val="18"/>
          <w:szCs w:val="18"/>
          <w:lang w:val="es-ES"/>
        </w:rPr>
        <w:t xml:space="preserve">són </w:t>
      </w:r>
      <w:r w:rsidR="006D32B7" w:rsidRPr="00AF274C">
        <w:rPr>
          <w:rFonts w:cs="Tahoma"/>
          <w:noProof/>
          <w:sz w:val="18"/>
          <w:szCs w:val="18"/>
          <w:lang w:val="es-ES"/>
        </w:rPr>
        <w:t>substancialment ineficaces</w:t>
      </w:r>
      <w:r w:rsidRPr="00AF274C">
        <w:rPr>
          <w:rFonts w:cs="Tahoma"/>
          <w:noProof/>
          <w:sz w:val="18"/>
          <w:szCs w:val="18"/>
          <w:lang w:val="es-ES"/>
        </w:rPr>
        <w:t xml:space="preserve">s per al </w:t>
      </w:r>
      <w:r w:rsidR="00AF274C">
        <w:rPr>
          <w:rFonts w:cs="Tahoma"/>
          <w:noProof/>
          <w:sz w:val="18"/>
          <w:szCs w:val="18"/>
          <w:lang w:val="es-ES"/>
        </w:rPr>
        <w:t>tratamiento</w:t>
      </w:r>
      <w:r w:rsidRPr="00AF274C">
        <w:rPr>
          <w:rFonts w:cs="Tahoma"/>
          <w:noProof/>
          <w:sz w:val="18"/>
          <w:szCs w:val="18"/>
          <w:lang w:val="es-ES"/>
        </w:rPr>
        <w:t xml:space="preserve"> dels dolors lumbars i </w:t>
      </w:r>
      <w:r w:rsidR="00581206">
        <w:rPr>
          <w:rFonts w:cs="Tahoma"/>
          <w:noProof/>
          <w:sz w:val="18"/>
          <w:szCs w:val="18"/>
          <w:lang w:val="es-ES"/>
        </w:rPr>
        <w:t>otros</w:t>
      </w:r>
      <w:r w:rsidRPr="00AF274C">
        <w:rPr>
          <w:rFonts w:cs="Tahoma"/>
          <w:noProof/>
          <w:sz w:val="18"/>
          <w:szCs w:val="18"/>
          <w:lang w:val="es-ES"/>
        </w:rPr>
        <w:t>.</w:t>
      </w:r>
      <w:r w:rsidR="002A3A51" w:rsidRPr="00AF274C">
        <w:rPr>
          <w:rStyle w:val="Refdenotaalfinal"/>
          <w:rFonts w:cs="Tahoma"/>
          <w:noProof/>
          <w:sz w:val="18"/>
          <w:szCs w:val="18"/>
          <w:lang w:val="es-ES"/>
        </w:rPr>
        <w:endnoteReference w:id="27"/>
      </w:r>
      <w:r w:rsidR="002A3A51" w:rsidRPr="00AF274C">
        <w:rPr>
          <w:rFonts w:cs="Tahoma"/>
          <w:noProof/>
          <w:sz w:val="18"/>
          <w:szCs w:val="18"/>
          <w:vertAlign w:val="superscript"/>
          <w:lang w:val="es-ES"/>
        </w:rPr>
        <w:t>,</w:t>
      </w:r>
      <w:r w:rsidR="002A3A51" w:rsidRPr="00AF274C">
        <w:rPr>
          <w:rStyle w:val="Refdenotaalfinal"/>
          <w:rFonts w:cs="Tahoma"/>
          <w:noProof/>
          <w:sz w:val="18"/>
          <w:szCs w:val="18"/>
          <w:lang w:val="es-ES"/>
        </w:rPr>
        <w:endnoteReference w:id="28"/>
      </w:r>
    </w:p>
    <w:p w:rsidR="00A06D18" w:rsidRPr="00AF274C" w:rsidRDefault="00A06D18" w:rsidP="00A10828">
      <w:pPr>
        <w:rPr>
          <w:rFonts w:cs="Tahoma"/>
          <w:sz w:val="20"/>
          <w:szCs w:val="20"/>
          <w:lang w:val="es-ES"/>
        </w:rPr>
      </w:pPr>
    </w:p>
    <w:p w:rsidR="0002044B" w:rsidRPr="00AF274C" w:rsidRDefault="004F056C" w:rsidP="0002044B">
      <w:pPr>
        <w:ind w:left="426" w:hanging="142"/>
        <w:rPr>
          <w:rFonts w:cs="Tahoma"/>
          <w:sz w:val="18"/>
          <w:szCs w:val="18"/>
          <w:lang w:val="es-ES"/>
        </w:rPr>
      </w:pPr>
      <w:r w:rsidRPr="004F056C">
        <w:rPr>
          <w:rFonts w:cs="Tahoma"/>
          <w:sz w:val="18"/>
          <w:szCs w:val="18"/>
          <w:lang w:val="es-ES"/>
        </w:rPr>
        <w:t>En</w:t>
      </w:r>
      <w:r w:rsidR="0002044B" w:rsidRPr="004F056C">
        <w:rPr>
          <w:rFonts w:cs="Tahoma"/>
          <w:sz w:val="18"/>
          <w:szCs w:val="18"/>
          <w:lang w:val="es-ES"/>
        </w:rPr>
        <w:t xml:space="preserve"> </w:t>
      </w:r>
      <w:r w:rsidR="00AF274C" w:rsidRPr="004F056C">
        <w:rPr>
          <w:rFonts w:cs="Tahoma"/>
          <w:sz w:val="18"/>
          <w:szCs w:val="18"/>
          <w:lang w:val="es-ES"/>
        </w:rPr>
        <w:t>Cataluña</w:t>
      </w:r>
      <w:r w:rsidR="00035F84">
        <w:rPr>
          <w:rFonts w:cs="Tahoma"/>
          <w:sz w:val="18"/>
          <w:szCs w:val="18"/>
          <w:lang w:val="es-ES"/>
        </w:rPr>
        <w:t xml:space="preserve"> en 2015 una media</w:t>
      </w:r>
      <w:r w:rsidRPr="004F056C">
        <w:rPr>
          <w:rFonts w:cs="Tahoma"/>
          <w:sz w:val="18"/>
          <w:szCs w:val="18"/>
          <w:lang w:val="es-ES"/>
        </w:rPr>
        <w:t xml:space="preserve"> de</w:t>
      </w:r>
      <w:r w:rsidR="0002044B" w:rsidRPr="004F056C">
        <w:rPr>
          <w:rFonts w:cs="Tahoma"/>
          <w:sz w:val="18"/>
          <w:szCs w:val="18"/>
          <w:lang w:val="es-ES"/>
        </w:rPr>
        <w:t xml:space="preserve"> 57.000 pacient</w:t>
      </w:r>
      <w:r w:rsidRPr="004F056C">
        <w:rPr>
          <w:rFonts w:cs="Tahoma"/>
          <w:sz w:val="18"/>
          <w:szCs w:val="18"/>
          <w:lang w:val="es-ES"/>
        </w:rPr>
        <w:t>e</w:t>
      </w:r>
      <w:r w:rsidR="0002044B" w:rsidRPr="004F056C">
        <w:rPr>
          <w:rFonts w:cs="Tahoma"/>
          <w:sz w:val="18"/>
          <w:szCs w:val="18"/>
          <w:lang w:val="es-ES"/>
        </w:rPr>
        <w:t xml:space="preserve">s de &gt;65 </w:t>
      </w:r>
      <w:r w:rsidR="00581206" w:rsidRPr="004F056C">
        <w:rPr>
          <w:rFonts w:cs="Tahoma"/>
          <w:sz w:val="18"/>
          <w:szCs w:val="18"/>
          <w:lang w:val="es-ES"/>
        </w:rPr>
        <w:t>años</w:t>
      </w:r>
      <w:r w:rsidRPr="004F056C">
        <w:rPr>
          <w:rFonts w:cs="Tahoma"/>
          <w:sz w:val="18"/>
          <w:szCs w:val="18"/>
          <w:lang w:val="es-ES"/>
        </w:rPr>
        <w:t xml:space="preserve"> </w:t>
      </w:r>
      <w:r w:rsidR="00035F84">
        <w:rPr>
          <w:rFonts w:cs="Tahoma"/>
          <w:sz w:val="18"/>
          <w:szCs w:val="18"/>
          <w:lang w:val="es-ES"/>
        </w:rPr>
        <w:t>consumía</w:t>
      </w:r>
      <w:r w:rsidR="0002044B" w:rsidRPr="004F056C">
        <w:rPr>
          <w:rFonts w:cs="Tahoma"/>
          <w:sz w:val="18"/>
          <w:szCs w:val="18"/>
          <w:lang w:val="es-ES"/>
        </w:rPr>
        <w:t xml:space="preserve"> gabapentina o pregabalina.</w:t>
      </w:r>
      <w:r w:rsidR="0002044B" w:rsidRPr="00AF274C">
        <w:rPr>
          <w:rStyle w:val="Refdenotaalfinal"/>
          <w:rFonts w:cs="Tahoma"/>
          <w:sz w:val="18"/>
          <w:szCs w:val="18"/>
          <w:lang w:val="es-ES"/>
        </w:rPr>
        <w:endnoteReference w:id="29"/>
      </w:r>
    </w:p>
    <w:p w:rsidR="0002044B" w:rsidRDefault="0002044B" w:rsidP="00A10828">
      <w:pPr>
        <w:rPr>
          <w:rFonts w:cs="Tahoma"/>
          <w:sz w:val="20"/>
          <w:szCs w:val="20"/>
          <w:lang w:val="es-ES"/>
        </w:rPr>
      </w:pPr>
    </w:p>
    <w:p w:rsidR="00B73742" w:rsidRPr="00AF274C" w:rsidRDefault="00B73742" w:rsidP="00A10828">
      <w:pPr>
        <w:rPr>
          <w:rFonts w:cs="Tahoma"/>
          <w:sz w:val="20"/>
          <w:szCs w:val="20"/>
          <w:lang w:val="es-ES"/>
        </w:rPr>
      </w:pPr>
    </w:p>
    <w:p w:rsidR="002E43FA" w:rsidRPr="00AF274C" w:rsidRDefault="002E43FA" w:rsidP="002E43FA">
      <w:pPr>
        <w:rPr>
          <w:b/>
          <w:sz w:val="20"/>
          <w:szCs w:val="20"/>
          <w:lang w:val="es-ES"/>
        </w:rPr>
      </w:pPr>
      <w:r w:rsidRPr="00AF274C">
        <w:rPr>
          <w:b/>
          <w:sz w:val="20"/>
          <w:szCs w:val="20"/>
          <w:lang w:val="es-ES"/>
        </w:rPr>
        <w:t>Inhibidor</w:t>
      </w:r>
      <w:r w:rsidR="00B9771E">
        <w:rPr>
          <w:b/>
          <w:sz w:val="20"/>
          <w:szCs w:val="20"/>
          <w:lang w:val="es-ES"/>
        </w:rPr>
        <w:t>e</w:t>
      </w:r>
      <w:r w:rsidRPr="00AF274C">
        <w:rPr>
          <w:b/>
          <w:sz w:val="20"/>
          <w:szCs w:val="20"/>
          <w:lang w:val="es-ES"/>
        </w:rPr>
        <w:t>s de la bomba de proton</w:t>
      </w:r>
      <w:r w:rsidR="00035F84">
        <w:rPr>
          <w:b/>
          <w:sz w:val="20"/>
          <w:szCs w:val="20"/>
          <w:lang w:val="es-ES"/>
        </w:rPr>
        <w:t>es (IBP, omeprazol y</w:t>
      </w:r>
      <w:r w:rsidR="00B9771E">
        <w:rPr>
          <w:b/>
          <w:sz w:val="20"/>
          <w:szCs w:val="20"/>
          <w:lang w:val="es-ES"/>
        </w:rPr>
        <w:t xml:space="preserve"> análo</w:t>
      </w:r>
      <w:r w:rsidRPr="00AF274C">
        <w:rPr>
          <w:b/>
          <w:sz w:val="20"/>
          <w:szCs w:val="20"/>
          <w:lang w:val="es-ES"/>
        </w:rPr>
        <w:t>g</w:t>
      </w:r>
      <w:r w:rsidR="00B9771E">
        <w:rPr>
          <w:b/>
          <w:sz w:val="20"/>
          <w:szCs w:val="20"/>
          <w:lang w:val="es-ES"/>
        </w:rPr>
        <w:t>o</w:t>
      </w:r>
      <w:r w:rsidRPr="00AF274C">
        <w:rPr>
          <w:b/>
          <w:sz w:val="20"/>
          <w:szCs w:val="20"/>
          <w:lang w:val="es-ES"/>
        </w:rPr>
        <w:t>s)</w:t>
      </w:r>
    </w:p>
    <w:p w:rsidR="002E43FA" w:rsidRPr="00AF274C" w:rsidRDefault="002E43FA" w:rsidP="002E43FA">
      <w:pPr>
        <w:rPr>
          <w:rFonts w:cs="Tahoma"/>
          <w:sz w:val="20"/>
          <w:szCs w:val="20"/>
          <w:highlight w:val="yellow"/>
          <w:lang w:val="es-ES"/>
        </w:rPr>
      </w:pPr>
    </w:p>
    <w:p w:rsidR="002E43FA" w:rsidRPr="00AF274C" w:rsidRDefault="002E43FA" w:rsidP="002E43FA">
      <w:pPr>
        <w:rPr>
          <w:rFonts w:cs="HelveticaNeueLT Std"/>
          <w:color w:val="000000"/>
          <w:sz w:val="11"/>
          <w:szCs w:val="11"/>
          <w:lang w:val="es-ES"/>
        </w:rPr>
      </w:pPr>
      <w:r w:rsidRPr="00AF274C">
        <w:rPr>
          <w:rFonts w:cs="HelveticaNeueLT Std"/>
          <w:color w:val="000000"/>
          <w:sz w:val="20"/>
          <w:szCs w:val="20"/>
          <w:lang w:val="es-ES"/>
        </w:rPr>
        <w:t>La reducció</w:t>
      </w:r>
      <w:r w:rsidR="00B9771E">
        <w:rPr>
          <w:rFonts w:cs="HelveticaNeueLT Std"/>
          <w:color w:val="000000"/>
          <w:sz w:val="20"/>
          <w:szCs w:val="20"/>
          <w:lang w:val="es-ES"/>
        </w:rPr>
        <w:t>n de la acidez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 g</w:t>
      </w:r>
      <w:r w:rsidR="00B9771E">
        <w:rPr>
          <w:rFonts w:cs="HelveticaNeueLT Std"/>
          <w:color w:val="000000"/>
          <w:sz w:val="20"/>
          <w:szCs w:val="20"/>
          <w:lang w:val="es-ES"/>
        </w:rPr>
        <w:t>ástrica y el au</w:t>
      </w:r>
      <w:r w:rsidRPr="00AF274C">
        <w:rPr>
          <w:rFonts w:cs="HelveticaNeueLT Std"/>
          <w:color w:val="000000"/>
          <w:sz w:val="20"/>
          <w:szCs w:val="20"/>
          <w:lang w:val="es-ES"/>
        </w:rPr>
        <w:t>ment</w:t>
      </w:r>
      <w:r w:rsidR="00B9771E">
        <w:rPr>
          <w:rFonts w:cs="HelveticaNeueLT Std"/>
          <w:color w:val="000000"/>
          <w:sz w:val="20"/>
          <w:szCs w:val="20"/>
          <w:lang w:val="es-ES"/>
        </w:rPr>
        <w:t>o de la coloni</w:t>
      </w:r>
      <w:r w:rsidRPr="00AF274C">
        <w:rPr>
          <w:rFonts w:cs="HelveticaNeueLT Std"/>
          <w:color w:val="000000"/>
          <w:sz w:val="20"/>
          <w:szCs w:val="20"/>
          <w:lang w:val="es-ES"/>
        </w:rPr>
        <w:t>zació</w:t>
      </w:r>
      <w:r w:rsidR="00B9771E">
        <w:rPr>
          <w:rFonts w:cs="HelveticaNeueLT Std"/>
          <w:color w:val="000000"/>
          <w:sz w:val="20"/>
          <w:szCs w:val="20"/>
          <w:lang w:val="es-ES"/>
        </w:rPr>
        <w:t>n bacteriana en el estómago y el intestino causados po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r </w:t>
      </w:r>
      <w:r w:rsidR="00AF274C">
        <w:rPr>
          <w:rFonts w:cs="HelveticaNeueLT Std"/>
          <w:color w:val="000000"/>
          <w:sz w:val="20"/>
          <w:szCs w:val="20"/>
          <w:lang w:val="es-ES"/>
        </w:rPr>
        <w:t>estos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 </w:t>
      </w:r>
      <w:r w:rsidR="00035F84">
        <w:rPr>
          <w:rFonts w:cs="HelveticaNeueLT Std"/>
          <w:color w:val="000000"/>
          <w:sz w:val="20"/>
          <w:szCs w:val="20"/>
          <w:lang w:val="es-ES"/>
        </w:rPr>
        <w:t>f</w:t>
      </w:r>
      <w:r w:rsidR="00B9771E">
        <w:rPr>
          <w:rFonts w:cs="HelveticaNeueLT Std"/>
          <w:color w:val="000000"/>
          <w:sz w:val="20"/>
          <w:szCs w:val="20"/>
          <w:lang w:val="es-ES"/>
        </w:rPr>
        <w:t>ármacos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 tamb</w:t>
      </w:r>
      <w:r w:rsidR="00035F84">
        <w:rPr>
          <w:rFonts w:cs="HelveticaNeueLT Std"/>
          <w:color w:val="000000"/>
          <w:sz w:val="20"/>
          <w:szCs w:val="20"/>
          <w:lang w:val="es-ES"/>
        </w:rPr>
        <w:t>i</w:t>
      </w:r>
      <w:r w:rsidRPr="00AF274C">
        <w:rPr>
          <w:rFonts w:cs="HelveticaNeueLT Std"/>
          <w:color w:val="000000"/>
          <w:sz w:val="20"/>
          <w:szCs w:val="20"/>
          <w:lang w:val="es-ES"/>
        </w:rPr>
        <w:t>é</w:t>
      </w:r>
      <w:r w:rsidR="00035F84">
        <w:rPr>
          <w:rFonts w:cs="HelveticaNeueLT Std"/>
          <w:color w:val="000000"/>
          <w:sz w:val="20"/>
          <w:szCs w:val="20"/>
          <w:lang w:val="es-ES"/>
        </w:rPr>
        <w:t>n pue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den incrementar el </w:t>
      </w:r>
      <w:r w:rsidR="00AF274C">
        <w:rPr>
          <w:rFonts w:cs="HelveticaNeueLT Std"/>
          <w:color w:val="000000"/>
          <w:sz w:val="20"/>
          <w:szCs w:val="20"/>
          <w:lang w:val="es-ES"/>
        </w:rPr>
        <w:t>riesgo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 de </w:t>
      </w:r>
      <w:r w:rsidR="00AF274C">
        <w:rPr>
          <w:rFonts w:cs="HelveticaNeueLT Std"/>
          <w:b/>
          <w:bCs/>
          <w:color w:val="000000"/>
          <w:sz w:val="20"/>
          <w:szCs w:val="20"/>
          <w:lang w:val="es-ES"/>
        </w:rPr>
        <w:t>neumonía</w:t>
      </w:r>
      <w:r w:rsidRPr="00AF274C">
        <w:rPr>
          <w:rFonts w:cs="HelveticaNeueLT Std"/>
          <w:color w:val="000000"/>
          <w:sz w:val="20"/>
          <w:szCs w:val="20"/>
          <w:lang w:val="es-ES"/>
        </w:rPr>
        <w:t>.</w:t>
      </w:r>
      <w:r w:rsidRPr="00AF274C">
        <w:rPr>
          <w:rStyle w:val="Refdenotaalfinal"/>
          <w:rFonts w:cs="HelveticaNeueLT Std"/>
          <w:color w:val="000000"/>
          <w:sz w:val="20"/>
          <w:szCs w:val="20"/>
          <w:lang w:val="es-ES"/>
        </w:rPr>
        <w:endnoteReference w:id="30"/>
      </w:r>
      <w:r w:rsidR="00B9771E">
        <w:rPr>
          <w:rFonts w:cs="HelveticaNeueLT Std"/>
          <w:color w:val="000000"/>
          <w:sz w:val="20"/>
          <w:szCs w:val="20"/>
          <w:lang w:val="es-ES"/>
        </w:rPr>
        <w:t xml:space="preserve"> Dos metanálisis de </w:t>
      </w:r>
      <w:r w:rsidR="00AF274C">
        <w:rPr>
          <w:rFonts w:cs="HelveticaNeueLT Std"/>
          <w:color w:val="000000"/>
          <w:sz w:val="20"/>
          <w:szCs w:val="20"/>
          <w:lang w:val="es-ES"/>
        </w:rPr>
        <w:t>estudio</w:t>
      </w:r>
      <w:r w:rsidR="00B9771E">
        <w:rPr>
          <w:rFonts w:cs="HelveticaNeueLT Std"/>
          <w:color w:val="000000"/>
          <w:sz w:val="20"/>
          <w:szCs w:val="20"/>
          <w:lang w:val="es-ES"/>
        </w:rPr>
        <w:t>s observacionales han mostrado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 </w:t>
      </w:r>
      <w:r w:rsidRPr="00AF274C">
        <w:rPr>
          <w:rFonts w:cs="HelveticaNeueLT Std"/>
          <w:b/>
          <w:bCs/>
          <w:color w:val="000000"/>
          <w:sz w:val="20"/>
          <w:szCs w:val="20"/>
          <w:lang w:val="es-ES"/>
        </w:rPr>
        <w:t>increment</w:t>
      </w:r>
      <w:r w:rsidR="00B9771E">
        <w:rPr>
          <w:rFonts w:cs="HelveticaNeueLT Std"/>
          <w:b/>
          <w:bCs/>
          <w:color w:val="000000"/>
          <w:sz w:val="20"/>
          <w:szCs w:val="20"/>
          <w:lang w:val="es-ES"/>
        </w:rPr>
        <w:t>o</w:t>
      </w:r>
      <w:r w:rsidRPr="00AF274C">
        <w:rPr>
          <w:rFonts w:cs="HelveticaNeueLT Std"/>
          <w:b/>
          <w:bCs/>
          <w:color w:val="000000"/>
          <w:sz w:val="20"/>
          <w:szCs w:val="20"/>
          <w:lang w:val="es-ES"/>
        </w:rPr>
        <w:t>s de 34%</w:t>
      </w:r>
      <w:r w:rsidRPr="00AF274C">
        <w:rPr>
          <w:rStyle w:val="Refdenotaalfinal"/>
          <w:rFonts w:cs="HelveticaNeueLT Std"/>
          <w:color w:val="000000"/>
          <w:sz w:val="20"/>
          <w:szCs w:val="20"/>
          <w:lang w:val="es-ES"/>
        </w:rPr>
        <w:endnoteReference w:id="31"/>
      </w:r>
      <w:r w:rsidRPr="00AF274C">
        <w:rPr>
          <w:rStyle w:val="A1"/>
          <w:lang w:val="es-ES"/>
        </w:rPr>
        <w:t xml:space="preserve"> </w:t>
      </w:r>
      <w:r w:rsidRPr="00AF274C">
        <w:rPr>
          <w:rFonts w:cs="HelveticaNeueLT Std"/>
          <w:b/>
          <w:bCs/>
          <w:color w:val="000000"/>
          <w:sz w:val="20"/>
          <w:szCs w:val="20"/>
          <w:lang w:val="es-ES"/>
        </w:rPr>
        <w:t>a 50%</w:t>
      </w:r>
      <w:r w:rsidRPr="00AF274C">
        <w:rPr>
          <w:rStyle w:val="Refdenotaalfinal"/>
          <w:rFonts w:cs="HelveticaNeueLT Std"/>
          <w:color w:val="000000"/>
          <w:sz w:val="20"/>
          <w:szCs w:val="20"/>
          <w:lang w:val="es-ES"/>
        </w:rPr>
        <w:endnoteReference w:id="32"/>
      </w:r>
      <w:r w:rsidRPr="00AF274C">
        <w:rPr>
          <w:rFonts w:cs="HelveticaNeueLT Std"/>
          <w:b/>
          <w:bCs/>
          <w:color w:val="000000"/>
          <w:sz w:val="20"/>
          <w:szCs w:val="20"/>
          <w:lang w:val="es-ES"/>
        </w:rPr>
        <w:t xml:space="preserve"> 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del </w:t>
      </w:r>
      <w:r w:rsidR="00AF274C">
        <w:rPr>
          <w:rFonts w:cs="HelveticaNeueLT Std"/>
          <w:color w:val="000000"/>
          <w:sz w:val="20"/>
          <w:szCs w:val="20"/>
          <w:lang w:val="es-ES"/>
        </w:rPr>
        <w:t>riesgo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 de </w:t>
      </w:r>
      <w:r w:rsidR="00AF274C">
        <w:rPr>
          <w:rFonts w:cs="HelveticaNeueLT Std"/>
          <w:color w:val="000000"/>
          <w:sz w:val="20"/>
          <w:szCs w:val="20"/>
          <w:lang w:val="es-ES"/>
        </w:rPr>
        <w:t>neumonía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 com</w:t>
      </w:r>
      <w:r w:rsidR="00B9771E">
        <w:rPr>
          <w:rFonts w:cs="HelveticaNeueLT Std"/>
          <w:color w:val="000000"/>
          <w:sz w:val="20"/>
          <w:szCs w:val="20"/>
          <w:lang w:val="es-ES"/>
        </w:rPr>
        <w:t>unita</w:t>
      </w:r>
      <w:r w:rsidR="00035F84">
        <w:rPr>
          <w:rFonts w:cs="HelveticaNeueLT Std"/>
          <w:color w:val="000000"/>
          <w:sz w:val="20"/>
          <w:szCs w:val="20"/>
          <w:lang w:val="es-ES"/>
        </w:rPr>
        <w:t>ria en persona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s que </w:t>
      </w:r>
      <w:r w:rsidR="00B9771E">
        <w:rPr>
          <w:rFonts w:cs="HelveticaNeueLT Std"/>
          <w:color w:val="000000"/>
          <w:sz w:val="20"/>
          <w:szCs w:val="20"/>
          <w:lang w:val="es-ES"/>
        </w:rPr>
        <w:t>consum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en </w:t>
      </w:r>
      <w:r w:rsidR="00AF274C">
        <w:rPr>
          <w:rFonts w:cs="HelveticaNeueLT Std"/>
          <w:color w:val="000000"/>
          <w:sz w:val="20"/>
          <w:szCs w:val="20"/>
          <w:lang w:val="es-ES"/>
        </w:rPr>
        <w:t>estos</w:t>
      </w:r>
      <w:r w:rsidRPr="00AF274C">
        <w:rPr>
          <w:rFonts w:cs="HelveticaNeueLT Std"/>
          <w:color w:val="000000"/>
          <w:sz w:val="20"/>
          <w:szCs w:val="20"/>
          <w:lang w:val="es-ES"/>
        </w:rPr>
        <w:t xml:space="preserve"> </w:t>
      </w:r>
      <w:r w:rsidR="00B9771E">
        <w:rPr>
          <w:rFonts w:cs="HelveticaNeueLT Std"/>
          <w:color w:val="000000"/>
          <w:sz w:val="20"/>
          <w:szCs w:val="20"/>
          <w:lang w:val="es-ES"/>
        </w:rPr>
        <w:t>fármacos</w:t>
      </w:r>
      <w:r w:rsidRPr="00AF274C">
        <w:rPr>
          <w:rFonts w:cs="HelveticaNeueLT Std"/>
          <w:color w:val="000000"/>
          <w:sz w:val="20"/>
          <w:szCs w:val="20"/>
          <w:lang w:val="es-ES"/>
        </w:rPr>
        <w:t>.</w:t>
      </w:r>
      <w:r w:rsidR="00E06EFA" w:rsidRPr="00AF274C">
        <w:rPr>
          <w:rFonts w:cs="HelveticaNeueLT Std"/>
          <w:color w:val="000000"/>
          <w:sz w:val="20"/>
          <w:szCs w:val="20"/>
          <w:lang w:val="es-ES"/>
        </w:rPr>
        <w:t xml:space="preserve"> </w:t>
      </w:r>
      <w:r w:rsidR="00AF274C">
        <w:rPr>
          <w:rFonts w:cs="HelveticaNeueLT Std"/>
          <w:color w:val="000000"/>
          <w:sz w:val="20"/>
          <w:szCs w:val="20"/>
          <w:lang w:val="es-ES"/>
        </w:rPr>
        <w:t>Estudio</w:t>
      </w:r>
      <w:r w:rsidR="00B9771E">
        <w:rPr>
          <w:rFonts w:cs="HelveticaNeueLT Std"/>
          <w:color w:val="000000"/>
          <w:sz w:val="20"/>
          <w:szCs w:val="20"/>
          <w:lang w:val="es-ES"/>
        </w:rPr>
        <w:t>s má</w:t>
      </w:r>
      <w:r w:rsidR="00E06EFA" w:rsidRPr="00AF274C">
        <w:rPr>
          <w:rFonts w:cs="HelveticaNeueLT Std"/>
          <w:color w:val="000000"/>
          <w:sz w:val="20"/>
          <w:szCs w:val="20"/>
          <w:lang w:val="es-ES"/>
        </w:rPr>
        <w:t>s rec</w:t>
      </w:r>
      <w:r w:rsidR="00B9771E">
        <w:rPr>
          <w:rFonts w:cs="HelveticaNeueLT Std"/>
          <w:color w:val="000000"/>
          <w:sz w:val="20"/>
          <w:szCs w:val="20"/>
          <w:lang w:val="es-ES"/>
        </w:rPr>
        <w:t>i</w:t>
      </w:r>
      <w:r w:rsidR="00E06EFA" w:rsidRPr="00AF274C">
        <w:rPr>
          <w:rFonts w:cs="HelveticaNeueLT Std"/>
          <w:color w:val="000000"/>
          <w:sz w:val="20"/>
          <w:szCs w:val="20"/>
          <w:lang w:val="es-ES"/>
        </w:rPr>
        <w:t>e</w:t>
      </w:r>
      <w:r w:rsidR="00B9771E">
        <w:rPr>
          <w:rFonts w:cs="HelveticaNeueLT Std"/>
          <w:color w:val="000000"/>
          <w:sz w:val="20"/>
          <w:szCs w:val="20"/>
          <w:lang w:val="es-ES"/>
        </w:rPr>
        <w:t xml:space="preserve">ntes han confirmado la magnitud de </w:t>
      </w:r>
      <w:r w:rsidR="00AF274C">
        <w:rPr>
          <w:rFonts w:cs="HelveticaNeueLT Std"/>
          <w:color w:val="000000"/>
          <w:sz w:val="20"/>
          <w:szCs w:val="20"/>
          <w:lang w:val="es-ES"/>
        </w:rPr>
        <w:t>estos</w:t>
      </w:r>
      <w:r w:rsidR="00E06EFA" w:rsidRPr="00AF274C">
        <w:rPr>
          <w:rFonts w:cs="HelveticaNeueLT Std"/>
          <w:color w:val="000000"/>
          <w:sz w:val="20"/>
          <w:szCs w:val="20"/>
          <w:lang w:val="es-ES"/>
        </w:rPr>
        <w:t xml:space="preserve"> </w:t>
      </w:r>
      <w:r w:rsidR="00FA2E86">
        <w:rPr>
          <w:rFonts w:cs="HelveticaNeueLT Std"/>
          <w:color w:val="000000"/>
          <w:sz w:val="20"/>
          <w:szCs w:val="20"/>
          <w:lang w:val="es-ES"/>
        </w:rPr>
        <w:t>riesgos</w:t>
      </w:r>
      <w:r w:rsidR="00E06EFA" w:rsidRPr="00AF274C">
        <w:rPr>
          <w:rFonts w:cs="HelveticaNeueLT Std"/>
          <w:color w:val="000000"/>
          <w:sz w:val="20"/>
          <w:szCs w:val="20"/>
          <w:lang w:val="es-ES"/>
        </w:rPr>
        <w:t>.</w:t>
      </w:r>
      <w:r w:rsidR="00E06EFA" w:rsidRPr="00AF274C">
        <w:rPr>
          <w:rStyle w:val="Refdenotaalfinal"/>
          <w:rFonts w:cs="HelveticaNeueLT Std"/>
          <w:color w:val="000000"/>
          <w:sz w:val="20"/>
          <w:szCs w:val="20"/>
          <w:lang w:val="es-ES"/>
        </w:rPr>
        <w:endnoteReference w:id="33"/>
      </w:r>
      <w:r w:rsidR="007B1571" w:rsidRPr="00AF274C">
        <w:rPr>
          <w:rFonts w:cs="HelveticaNeueLT Std"/>
          <w:color w:val="000000"/>
          <w:sz w:val="20"/>
          <w:szCs w:val="20"/>
          <w:vertAlign w:val="superscript"/>
          <w:lang w:val="es-ES"/>
        </w:rPr>
        <w:t>,</w:t>
      </w:r>
      <w:r w:rsidR="007B1571" w:rsidRPr="00AF274C">
        <w:rPr>
          <w:rStyle w:val="Refdenotaalfinal"/>
          <w:rFonts w:cs="HelveticaNeueLT Std"/>
          <w:color w:val="000000"/>
          <w:sz w:val="20"/>
          <w:szCs w:val="20"/>
          <w:lang w:val="es-ES"/>
        </w:rPr>
        <w:endnoteReference w:id="34"/>
      </w:r>
      <w:proofErr w:type="gramStart"/>
      <w:r w:rsidR="007B1571" w:rsidRPr="00AF274C">
        <w:rPr>
          <w:rFonts w:cs="HelveticaNeueLT Std"/>
          <w:color w:val="000000"/>
          <w:sz w:val="20"/>
          <w:szCs w:val="20"/>
          <w:vertAlign w:val="superscript"/>
          <w:lang w:val="es-ES"/>
        </w:rPr>
        <w:t>,</w:t>
      </w:r>
      <w:proofErr w:type="gramEnd"/>
      <w:r w:rsidR="007B1571" w:rsidRPr="00AF274C">
        <w:rPr>
          <w:rStyle w:val="Refdenotaalfinal"/>
          <w:rFonts w:cs="HelveticaNeueLT Std"/>
          <w:color w:val="000000"/>
          <w:sz w:val="20"/>
          <w:szCs w:val="20"/>
          <w:lang w:val="es-ES"/>
        </w:rPr>
        <w:endnoteReference w:id="35"/>
      </w:r>
    </w:p>
    <w:p w:rsidR="007B1571" w:rsidRPr="00AF274C" w:rsidRDefault="007B1571" w:rsidP="00A10828">
      <w:pPr>
        <w:rPr>
          <w:sz w:val="20"/>
          <w:szCs w:val="20"/>
          <w:lang w:val="es-ES"/>
        </w:rPr>
      </w:pPr>
    </w:p>
    <w:p w:rsidR="007B1571" w:rsidRPr="00AF274C" w:rsidRDefault="00035F84" w:rsidP="007B1571">
      <w:pPr>
        <w:ind w:left="426" w:hanging="142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En</w:t>
      </w:r>
      <w:r w:rsidR="007B1571" w:rsidRPr="00AF274C">
        <w:rPr>
          <w:sz w:val="18"/>
          <w:szCs w:val="18"/>
          <w:lang w:val="es-ES"/>
        </w:rPr>
        <w:t xml:space="preserve"> </w:t>
      </w:r>
      <w:r w:rsidR="00AF274C">
        <w:rPr>
          <w:sz w:val="18"/>
          <w:szCs w:val="18"/>
          <w:lang w:val="es-ES"/>
        </w:rPr>
        <w:t>Cataluña</w:t>
      </w:r>
      <w:r w:rsidR="00B9771E">
        <w:rPr>
          <w:sz w:val="18"/>
          <w:szCs w:val="18"/>
          <w:lang w:val="es-ES"/>
        </w:rPr>
        <w:t xml:space="preserve"> cada año</w:t>
      </w:r>
      <w:r w:rsidR="00B14968" w:rsidRPr="00AF274C">
        <w:rPr>
          <w:sz w:val="18"/>
          <w:szCs w:val="18"/>
          <w:lang w:val="es-ES"/>
        </w:rPr>
        <w:t xml:space="preserve"> 1,5</w:t>
      </w:r>
      <w:r w:rsidR="00B9771E">
        <w:rPr>
          <w:sz w:val="18"/>
          <w:szCs w:val="18"/>
          <w:lang w:val="es-ES"/>
        </w:rPr>
        <w:t xml:space="preserve"> mill</w:t>
      </w:r>
      <w:r w:rsidR="00B14968" w:rsidRPr="00AF274C">
        <w:rPr>
          <w:sz w:val="18"/>
          <w:szCs w:val="18"/>
          <w:lang w:val="es-ES"/>
        </w:rPr>
        <w:t>on</w:t>
      </w:r>
      <w:r w:rsidR="00B9771E">
        <w:rPr>
          <w:sz w:val="18"/>
          <w:szCs w:val="18"/>
          <w:lang w:val="es-ES"/>
        </w:rPr>
        <w:t>e</w:t>
      </w:r>
      <w:r w:rsidR="00B14968" w:rsidRPr="00AF274C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 xml:space="preserve"> de persona</w:t>
      </w:r>
      <w:r w:rsidR="007B1571" w:rsidRPr="00AF274C">
        <w:rPr>
          <w:sz w:val="18"/>
          <w:szCs w:val="18"/>
          <w:lang w:val="es-ES"/>
        </w:rPr>
        <w:t xml:space="preserve">s </w:t>
      </w:r>
      <w:r w:rsidR="00B14968" w:rsidRPr="00AF274C">
        <w:rPr>
          <w:sz w:val="18"/>
          <w:szCs w:val="18"/>
          <w:lang w:val="es-ES"/>
        </w:rPr>
        <w:t>(19% de la població</w:t>
      </w:r>
      <w:r w:rsidR="00B9771E">
        <w:rPr>
          <w:sz w:val="18"/>
          <w:szCs w:val="18"/>
          <w:lang w:val="es-ES"/>
        </w:rPr>
        <w:t>n</w:t>
      </w:r>
      <w:r w:rsidR="00B14968" w:rsidRPr="00AF274C">
        <w:rPr>
          <w:sz w:val="18"/>
          <w:szCs w:val="18"/>
          <w:lang w:val="es-ES"/>
        </w:rPr>
        <w:t xml:space="preserve">) </w:t>
      </w:r>
      <w:r w:rsidR="00B9771E">
        <w:rPr>
          <w:sz w:val="18"/>
          <w:szCs w:val="18"/>
          <w:lang w:val="es-ES"/>
        </w:rPr>
        <w:t>reciben algú</w:t>
      </w:r>
      <w:r w:rsidR="007B1571" w:rsidRPr="00AF274C">
        <w:rPr>
          <w:sz w:val="18"/>
          <w:szCs w:val="18"/>
          <w:lang w:val="es-ES"/>
        </w:rPr>
        <w:t xml:space="preserve">n </w:t>
      </w:r>
      <w:r w:rsidR="00581206">
        <w:rPr>
          <w:sz w:val="18"/>
          <w:szCs w:val="18"/>
          <w:lang w:val="es-ES"/>
        </w:rPr>
        <w:t>fármaco</w:t>
      </w:r>
      <w:r w:rsidR="007B1571" w:rsidRPr="00AF274C">
        <w:rPr>
          <w:sz w:val="18"/>
          <w:szCs w:val="18"/>
          <w:lang w:val="es-ES"/>
        </w:rPr>
        <w:t xml:space="preserve"> IBP, </w:t>
      </w:r>
      <w:r w:rsidR="00AF274C">
        <w:rPr>
          <w:sz w:val="18"/>
          <w:szCs w:val="18"/>
          <w:lang w:val="es-ES"/>
        </w:rPr>
        <w:t>generalmente</w:t>
      </w:r>
      <w:r w:rsidR="007B1571" w:rsidRPr="00AF274C">
        <w:rPr>
          <w:sz w:val="18"/>
          <w:szCs w:val="18"/>
          <w:lang w:val="es-ES"/>
        </w:rPr>
        <w:t xml:space="preserve"> en </w:t>
      </w:r>
      <w:r w:rsidR="00AF274C">
        <w:rPr>
          <w:sz w:val="18"/>
          <w:szCs w:val="18"/>
          <w:lang w:val="es-ES"/>
        </w:rPr>
        <w:t>tratamiento</w:t>
      </w:r>
      <w:r w:rsidR="00B9771E">
        <w:rPr>
          <w:sz w:val="18"/>
          <w:szCs w:val="18"/>
          <w:lang w:val="es-ES"/>
        </w:rPr>
        <w:t xml:space="preserve"> continuado (mediana de 7,4 mese</w:t>
      </w:r>
      <w:r w:rsidR="007B1571" w:rsidRPr="00AF274C">
        <w:rPr>
          <w:sz w:val="18"/>
          <w:szCs w:val="18"/>
          <w:lang w:val="es-ES"/>
        </w:rPr>
        <w:t xml:space="preserve">s de </w:t>
      </w:r>
      <w:r w:rsidR="00AF274C">
        <w:rPr>
          <w:sz w:val="18"/>
          <w:szCs w:val="18"/>
          <w:lang w:val="es-ES"/>
        </w:rPr>
        <w:t>tratamiento</w:t>
      </w:r>
      <w:r w:rsidR="00B9771E">
        <w:rPr>
          <w:sz w:val="18"/>
          <w:szCs w:val="18"/>
          <w:lang w:val="es-ES"/>
        </w:rPr>
        <w:t xml:space="preserve"> por año</w:t>
      </w:r>
      <w:r w:rsidR="00B14968" w:rsidRPr="00AF274C">
        <w:rPr>
          <w:sz w:val="18"/>
          <w:szCs w:val="18"/>
          <w:lang w:val="es-ES"/>
        </w:rPr>
        <w:t>, un</w:t>
      </w:r>
      <w:r w:rsidR="00B9771E">
        <w:rPr>
          <w:sz w:val="18"/>
          <w:szCs w:val="18"/>
          <w:lang w:val="es-ES"/>
        </w:rPr>
        <w:t>os 300 mill</w:t>
      </w:r>
      <w:r w:rsidR="00B14968" w:rsidRPr="00AF274C">
        <w:rPr>
          <w:sz w:val="18"/>
          <w:szCs w:val="18"/>
          <w:lang w:val="es-ES"/>
        </w:rPr>
        <w:t>on</w:t>
      </w:r>
      <w:r w:rsidR="00B9771E">
        <w:rPr>
          <w:sz w:val="18"/>
          <w:szCs w:val="18"/>
          <w:lang w:val="es-ES"/>
        </w:rPr>
        <w:t>es de dosis diaria</w:t>
      </w:r>
      <w:r w:rsidR="00B14968" w:rsidRPr="00AF274C">
        <w:rPr>
          <w:sz w:val="18"/>
          <w:szCs w:val="18"/>
          <w:lang w:val="es-ES"/>
        </w:rPr>
        <w:t>s</w:t>
      </w:r>
      <w:r w:rsidR="007B1571" w:rsidRPr="00AF274C">
        <w:rPr>
          <w:sz w:val="18"/>
          <w:szCs w:val="18"/>
          <w:lang w:val="es-ES"/>
        </w:rPr>
        <w:t>).</w:t>
      </w:r>
      <w:r w:rsidR="007B1571" w:rsidRPr="00AF274C">
        <w:rPr>
          <w:rStyle w:val="Refdenotaalfinal"/>
          <w:sz w:val="18"/>
          <w:szCs w:val="18"/>
          <w:lang w:val="es-ES"/>
        </w:rPr>
        <w:endnoteReference w:id="36"/>
      </w:r>
    </w:p>
    <w:p w:rsidR="007B1571" w:rsidRPr="00AF274C" w:rsidRDefault="007B1571" w:rsidP="007B1571">
      <w:pPr>
        <w:ind w:left="426" w:hanging="142"/>
        <w:rPr>
          <w:sz w:val="18"/>
          <w:szCs w:val="18"/>
          <w:lang w:val="es-ES"/>
        </w:rPr>
      </w:pPr>
    </w:p>
    <w:p w:rsidR="00B14968" w:rsidRPr="00AF274C" w:rsidRDefault="00B14968" w:rsidP="00B14968">
      <w:pPr>
        <w:ind w:left="426" w:hanging="142"/>
        <w:rPr>
          <w:b/>
          <w:sz w:val="18"/>
          <w:szCs w:val="18"/>
          <w:lang w:val="es-ES"/>
        </w:rPr>
      </w:pPr>
      <w:r w:rsidRPr="00AF274C">
        <w:rPr>
          <w:b/>
          <w:sz w:val="18"/>
          <w:szCs w:val="18"/>
          <w:lang w:val="es-ES"/>
        </w:rPr>
        <w:t>U</w:t>
      </w:r>
      <w:r w:rsidR="007B1571" w:rsidRPr="00AF274C">
        <w:rPr>
          <w:b/>
          <w:sz w:val="18"/>
          <w:szCs w:val="18"/>
          <w:lang w:val="es-ES"/>
        </w:rPr>
        <w:t>n 57,4% de</w:t>
      </w:r>
      <w:r w:rsidR="00B9771E">
        <w:rPr>
          <w:b/>
          <w:sz w:val="18"/>
          <w:szCs w:val="18"/>
          <w:lang w:val="es-ES"/>
        </w:rPr>
        <w:t xml:space="preserve"> </w:t>
      </w:r>
      <w:r w:rsidR="007B1571" w:rsidRPr="00AF274C">
        <w:rPr>
          <w:b/>
          <w:sz w:val="18"/>
          <w:szCs w:val="18"/>
          <w:lang w:val="es-ES"/>
        </w:rPr>
        <w:t>l</w:t>
      </w:r>
      <w:r w:rsidR="00B9771E">
        <w:rPr>
          <w:b/>
          <w:sz w:val="18"/>
          <w:szCs w:val="18"/>
          <w:lang w:val="es-ES"/>
        </w:rPr>
        <w:t>os mayore</w:t>
      </w:r>
      <w:r w:rsidR="007B1571" w:rsidRPr="00AF274C">
        <w:rPr>
          <w:b/>
          <w:sz w:val="18"/>
          <w:szCs w:val="18"/>
          <w:lang w:val="es-ES"/>
        </w:rPr>
        <w:t xml:space="preserve">s de 65 </w:t>
      </w:r>
      <w:r w:rsidR="00581206">
        <w:rPr>
          <w:b/>
          <w:sz w:val="18"/>
          <w:szCs w:val="18"/>
          <w:lang w:val="es-ES"/>
        </w:rPr>
        <w:t>años</w:t>
      </w:r>
      <w:r w:rsidR="007B1571" w:rsidRPr="00AF274C">
        <w:rPr>
          <w:b/>
          <w:sz w:val="18"/>
          <w:szCs w:val="18"/>
          <w:lang w:val="es-ES"/>
        </w:rPr>
        <w:t xml:space="preserve"> re</w:t>
      </w:r>
      <w:r w:rsidR="00B9771E">
        <w:rPr>
          <w:b/>
          <w:sz w:val="18"/>
          <w:szCs w:val="18"/>
          <w:lang w:val="es-ES"/>
        </w:rPr>
        <w:t>ci</w:t>
      </w:r>
      <w:r w:rsidR="00035F84">
        <w:rPr>
          <w:b/>
          <w:sz w:val="18"/>
          <w:szCs w:val="18"/>
          <w:lang w:val="es-ES"/>
        </w:rPr>
        <w:t>be</w:t>
      </w:r>
      <w:r w:rsidR="007B1571" w:rsidRPr="00AF274C">
        <w:rPr>
          <w:b/>
          <w:sz w:val="18"/>
          <w:szCs w:val="18"/>
          <w:lang w:val="es-ES"/>
        </w:rPr>
        <w:t xml:space="preserve"> un IBP de manera continuada.</w:t>
      </w:r>
    </w:p>
    <w:p w:rsidR="00B14968" w:rsidRPr="00AF274C" w:rsidRDefault="00B14968" w:rsidP="00B14968">
      <w:pPr>
        <w:ind w:left="426" w:hanging="142"/>
        <w:rPr>
          <w:sz w:val="18"/>
          <w:szCs w:val="18"/>
          <w:lang w:val="es-ES"/>
        </w:rPr>
      </w:pPr>
    </w:p>
    <w:p w:rsidR="007B1571" w:rsidRPr="00AF274C" w:rsidRDefault="00B9771E" w:rsidP="00B14968">
      <w:pPr>
        <w:ind w:left="426" w:hanging="142"/>
        <w:rPr>
          <w:rFonts w:cs="Tahoma"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Con</w:t>
      </w:r>
      <w:r w:rsidR="00B14968" w:rsidRPr="00AF274C">
        <w:rPr>
          <w:sz w:val="18"/>
          <w:szCs w:val="18"/>
          <w:lang w:val="es-ES"/>
        </w:rPr>
        <w:t xml:space="preserve"> un </w:t>
      </w:r>
      <w:r w:rsidR="00AF274C">
        <w:rPr>
          <w:sz w:val="18"/>
          <w:szCs w:val="18"/>
          <w:lang w:val="es-ES"/>
        </w:rPr>
        <w:t>consumo</w:t>
      </w:r>
      <w:r>
        <w:rPr>
          <w:sz w:val="18"/>
          <w:szCs w:val="18"/>
          <w:lang w:val="es-ES"/>
        </w:rPr>
        <w:t xml:space="preserve"> tan generalizado</w:t>
      </w:r>
      <w:r w:rsidR="00B14968" w:rsidRPr="00AF274C">
        <w:rPr>
          <w:sz w:val="18"/>
          <w:szCs w:val="18"/>
          <w:lang w:val="es-ES"/>
        </w:rPr>
        <w:t xml:space="preserve">, </w:t>
      </w:r>
      <w:r>
        <w:rPr>
          <w:rFonts w:cs="Tahoma"/>
          <w:sz w:val="18"/>
          <w:szCs w:val="18"/>
          <w:lang w:val="es-ES"/>
        </w:rPr>
        <w:t>cualquier efecto</w:t>
      </w:r>
      <w:r w:rsidR="007B1571" w:rsidRPr="00AF274C">
        <w:rPr>
          <w:rFonts w:cs="Tahoma"/>
          <w:sz w:val="18"/>
          <w:szCs w:val="18"/>
          <w:lang w:val="es-ES"/>
        </w:rPr>
        <w:t xml:space="preserve"> advers</w:t>
      </w:r>
      <w:r>
        <w:rPr>
          <w:rFonts w:cs="Tahoma"/>
          <w:sz w:val="18"/>
          <w:szCs w:val="18"/>
          <w:lang w:val="es-ES"/>
        </w:rPr>
        <w:t>o de baj</w:t>
      </w:r>
      <w:r w:rsidR="007B1571" w:rsidRPr="00AF274C">
        <w:rPr>
          <w:rFonts w:cs="Tahoma"/>
          <w:sz w:val="18"/>
          <w:szCs w:val="18"/>
          <w:lang w:val="es-ES"/>
        </w:rPr>
        <w:t xml:space="preserve">a </w:t>
      </w:r>
      <w:r w:rsidR="00AF274C">
        <w:rPr>
          <w:rFonts w:cs="Tahoma"/>
          <w:sz w:val="18"/>
          <w:szCs w:val="18"/>
          <w:lang w:val="es-ES"/>
        </w:rPr>
        <w:t>incidencia</w:t>
      </w:r>
      <w:r>
        <w:rPr>
          <w:rFonts w:cs="Tahoma"/>
          <w:sz w:val="18"/>
          <w:szCs w:val="18"/>
          <w:lang w:val="es-ES"/>
        </w:rPr>
        <w:t xml:space="preserve"> puede</w:t>
      </w:r>
      <w:r w:rsidR="007B1571" w:rsidRPr="00AF274C">
        <w:rPr>
          <w:rFonts w:cs="Tahoma"/>
          <w:sz w:val="18"/>
          <w:szCs w:val="18"/>
          <w:lang w:val="es-ES"/>
        </w:rPr>
        <w:t xml:space="preserve"> </w:t>
      </w:r>
      <w:r>
        <w:rPr>
          <w:rFonts w:cs="Tahoma"/>
          <w:sz w:val="18"/>
          <w:szCs w:val="18"/>
          <w:lang w:val="es-ES"/>
        </w:rPr>
        <w:t>tener un impacto</w:t>
      </w:r>
      <w:r w:rsidR="00B14968" w:rsidRPr="00AF274C">
        <w:rPr>
          <w:rFonts w:cs="Tahoma"/>
          <w:sz w:val="18"/>
          <w:szCs w:val="18"/>
          <w:lang w:val="es-ES"/>
        </w:rPr>
        <w:t xml:space="preserve"> sanitari</w:t>
      </w:r>
      <w:r>
        <w:rPr>
          <w:rFonts w:cs="Tahoma"/>
          <w:sz w:val="18"/>
          <w:szCs w:val="18"/>
          <w:lang w:val="es-ES"/>
        </w:rPr>
        <w:t>o</w:t>
      </w:r>
      <w:r w:rsidR="00B14968" w:rsidRPr="00AF274C">
        <w:rPr>
          <w:rFonts w:cs="Tahoma"/>
          <w:sz w:val="18"/>
          <w:szCs w:val="18"/>
          <w:lang w:val="es-ES"/>
        </w:rPr>
        <w:t xml:space="preserve"> import</w:t>
      </w:r>
      <w:r w:rsidR="007B1571" w:rsidRPr="00AF274C">
        <w:rPr>
          <w:rFonts w:cs="Tahoma"/>
          <w:sz w:val="18"/>
          <w:szCs w:val="18"/>
          <w:lang w:val="es-ES"/>
        </w:rPr>
        <w:t>ant</w:t>
      </w:r>
      <w:r>
        <w:rPr>
          <w:rFonts w:cs="Tahoma"/>
          <w:sz w:val="18"/>
          <w:szCs w:val="18"/>
          <w:lang w:val="es-ES"/>
        </w:rPr>
        <w:t>e</w:t>
      </w:r>
      <w:r w:rsidR="007B1571" w:rsidRPr="00AF274C">
        <w:rPr>
          <w:rFonts w:cs="Tahoma"/>
          <w:sz w:val="18"/>
          <w:szCs w:val="18"/>
          <w:lang w:val="es-ES"/>
        </w:rPr>
        <w:t>.</w:t>
      </w:r>
    </w:p>
    <w:p w:rsidR="007B1571" w:rsidRPr="00AF274C" w:rsidRDefault="007B1571" w:rsidP="00A10828">
      <w:pPr>
        <w:rPr>
          <w:rFonts w:cs="Tahoma"/>
          <w:sz w:val="18"/>
          <w:szCs w:val="18"/>
          <w:lang w:val="es-ES"/>
        </w:rPr>
      </w:pPr>
    </w:p>
    <w:p w:rsidR="00B14968" w:rsidRPr="00AF274C" w:rsidRDefault="00B9771E" w:rsidP="00B14968">
      <w:pPr>
        <w:ind w:left="426" w:hanging="142"/>
        <w:rPr>
          <w:rFonts w:cs="Tahoma"/>
          <w:sz w:val="18"/>
          <w:szCs w:val="18"/>
          <w:lang w:val="es-ES"/>
        </w:rPr>
      </w:pPr>
      <w:r>
        <w:rPr>
          <w:rFonts w:cs="Tahoma"/>
          <w:sz w:val="18"/>
          <w:szCs w:val="18"/>
          <w:lang w:val="es-ES"/>
        </w:rPr>
        <w:lastRenderedPageBreak/>
        <w:t>La mayoría de les persona</w:t>
      </w:r>
      <w:r w:rsidR="00B14968" w:rsidRPr="00AF274C">
        <w:rPr>
          <w:rFonts w:cs="Tahoma"/>
          <w:sz w:val="18"/>
          <w:szCs w:val="18"/>
          <w:lang w:val="es-ES"/>
        </w:rPr>
        <w:t>s que re</w:t>
      </w:r>
      <w:r>
        <w:rPr>
          <w:rFonts w:cs="Tahoma"/>
          <w:sz w:val="18"/>
          <w:szCs w:val="18"/>
          <w:lang w:val="es-ES"/>
        </w:rPr>
        <w:t>ci</w:t>
      </w:r>
      <w:r w:rsidR="00B14968" w:rsidRPr="00AF274C">
        <w:rPr>
          <w:rFonts w:cs="Tahoma"/>
          <w:sz w:val="18"/>
          <w:szCs w:val="18"/>
          <w:lang w:val="es-ES"/>
        </w:rPr>
        <w:t xml:space="preserve">ben IBP no els </w:t>
      </w:r>
      <w:r w:rsidR="00AF274C">
        <w:rPr>
          <w:rFonts w:cs="Tahoma"/>
          <w:sz w:val="18"/>
          <w:szCs w:val="18"/>
          <w:lang w:val="es-ES"/>
        </w:rPr>
        <w:t>necesitan</w:t>
      </w:r>
      <w:r>
        <w:rPr>
          <w:rFonts w:cs="Tahoma"/>
          <w:sz w:val="18"/>
          <w:szCs w:val="18"/>
          <w:lang w:val="es-ES"/>
        </w:rPr>
        <w:t>; los IBP no son efectivo</w:t>
      </w:r>
      <w:r w:rsidR="00B14968" w:rsidRPr="00AF274C">
        <w:rPr>
          <w:rFonts w:cs="Tahoma"/>
          <w:sz w:val="18"/>
          <w:szCs w:val="18"/>
          <w:lang w:val="es-ES"/>
        </w:rPr>
        <w:t xml:space="preserve">s per al </w:t>
      </w:r>
      <w:r w:rsidR="00AF274C">
        <w:rPr>
          <w:rFonts w:cs="Tahoma"/>
          <w:sz w:val="18"/>
          <w:szCs w:val="18"/>
          <w:lang w:val="es-ES"/>
        </w:rPr>
        <w:t>tratamiento</w:t>
      </w:r>
      <w:r>
        <w:rPr>
          <w:rFonts w:cs="Tahoma"/>
          <w:sz w:val="18"/>
          <w:szCs w:val="18"/>
          <w:lang w:val="es-ES"/>
        </w:rPr>
        <w:t xml:space="preserve"> de la dispe</w:t>
      </w:r>
      <w:r w:rsidR="00B14968" w:rsidRPr="00AF274C">
        <w:rPr>
          <w:rFonts w:cs="Tahoma"/>
          <w:sz w:val="18"/>
          <w:szCs w:val="18"/>
          <w:lang w:val="es-ES"/>
        </w:rPr>
        <w:t>psia.</w:t>
      </w:r>
      <w:r w:rsidR="007B1571" w:rsidRPr="00AF274C">
        <w:rPr>
          <w:rFonts w:cs="Tahoma"/>
          <w:sz w:val="18"/>
          <w:szCs w:val="18"/>
          <w:lang w:val="es-ES"/>
        </w:rPr>
        <w:t xml:space="preserve"> </w:t>
      </w:r>
    </w:p>
    <w:p w:rsidR="00B14968" w:rsidRPr="00AF274C" w:rsidRDefault="00B14968" w:rsidP="00B14968">
      <w:pPr>
        <w:ind w:left="426" w:hanging="142"/>
        <w:rPr>
          <w:rFonts w:cs="Tahoma"/>
          <w:sz w:val="18"/>
          <w:szCs w:val="18"/>
          <w:lang w:val="es-ES"/>
        </w:rPr>
      </w:pPr>
    </w:p>
    <w:p w:rsidR="007B1571" w:rsidRPr="00AF274C" w:rsidRDefault="00B9771E" w:rsidP="00B14968">
      <w:pPr>
        <w:ind w:left="426" w:hanging="142"/>
        <w:rPr>
          <w:rFonts w:cs="Tahoma"/>
          <w:sz w:val="18"/>
          <w:szCs w:val="18"/>
          <w:lang w:val="es-ES"/>
        </w:rPr>
      </w:pPr>
      <w:r>
        <w:rPr>
          <w:rFonts w:cs="Tahoma"/>
          <w:sz w:val="18"/>
          <w:szCs w:val="18"/>
          <w:lang w:val="es-ES"/>
        </w:rPr>
        <w:t>Es</w:t>
      </w:r>
      <w:r w:rsidR="007B1571" w:rsidRPr="00AF274C">
        <w:rPr>
          <w:rFonts w:cs="Tahoma"/>
          <w:sz w:val="18"/>
          <w:szCs w:val="18"/>
          <w:lang w:val="es-ES"/>
        </w:rPr>
        <w:t xml:space="preserve"> imprescindible </w:t>
      </w:r>
      <w:r w:rsidR="007B1571" w:rsidRPr="00AF274C">
        <w:rPr>
          <w:rStyle w:val="Textoennegrita"/>
          <w:rFonts w:cs="Tahoma"/>
          <w:sz w:val="18"/>
          <w:szCs w:val="18"/>
          <w:lang w:val="es-ES"/>
        </w:rPr>
        <w:t>revisar les indicacion</w:t>
      </w:r>
      <w:r>
        <w:rPr>
          <w:rStyle w:val="Textoennegrita"/>
          <w:rFonts w:cs="Tahoma"/>
          <w:sz w:val="18"/>
          <w:szCs w:val="18"/>
          <w:lang w:val="es-ES"/>
        </w:rPr>
        <w:t>e</w:t>
      </w:r>
      <w:r w:rsidR="007B1571" w:rsidRPr="00AF274C">
        <w:rPr>
          <w:rStyle w:val="Textoennegrita"/>
          <w:rFonts w:cs="Tahoma"/>
          <w:sz w:val="18"/>
          <w:szCs w:val="18"/>
          <w:lang w:val="es-ES"/>
        </w:rPr>
        <w:t>s d</w:t>
      </w:r>
      <w:r>
        <w:rPr>
          <w:rStyle w:val="Textoennegrita"/>
          <w:rFonts w:cs="Tahoma"/>
          <w:sz w:val="18"/>
          <w:szCs w:val="18"/>
          <w:lang w:val="es-ES"/>
        </w:rPr>
        <w:t>e uso</w:t>
      </w:r>
      <w:r>
        <w:rPr>
          <w:rFonts w:cs="Tahoma"/>
          <w:sz w:val="18"/>
          <w:szCs w:val="18"/>
          <w:lang w:val="es-ES"/>
        </w:rPr>
        <w:t xml:space="preserve"> de </w:t>
      </w:r>
      <w:r w:rsidR="00AF274C">
        <w:rPr>
          <w:rFonts w:cs="Tahoma"/>
          <w:sz w:val="18"/>
          <w:szCs w:val="18"/>
          <w:lang w:val="es-ES"/>
        </w:rPr>
        <w:t>estos</w:t>
      </w:r>
      <w:r w:rsidR="007B1571" w:rsidRPr="00AF274C">
        <w:rPr>
          <w:rFonts w:cs="Tahoma"/>
          <w:sz w:val="18"/>
          <w:szCs w:val="18"/>
          <w:lang w:val="es-ES"/>
        </w:rPr>
        <w:t xml:space="preserve"> </w:t>
      </w:r>
      <w:r>
        <w:rPr>
          <w:rFonts w:cs="Tahoma"/>
          <w:sz w:val="18"/>
          <w:szCs w:val="18"/>
          <w:lang w:val="es-ES"/>
        </w:rPr>
        <w:t>fármacos e</w:t>
      </w:r>
      <w:r w:rsidR="007B1571" w:rsidRPr="00AF274C">
        <w:rPr>
          <w:rFonts w:cs="Tahoma"/>
          <w:sz w:val="18"/>
          <w:szCs w:val="18"/>
          <w:lang w:val="es-ES"/>
        </w:rPr>
        <w:t xml:space="preserve"> identificar a</w:t>
      </w:r>
      <w:r>
        <w:rPr>
          <w:rFonts w:cs="Tahoma"/>
          <w:sz w:val="18"/>
          <w:szCs w:val="18"/>
          <w:lang w:val="es-ES"/>
        </w:rPr>
        <w:t xml:space="preserve"> </w:t>
      </w:r>
      <w:r w:rsidR="007B1571" w:rsidRPr="00AF274C">
        <w:rPr>
          <w:rFonts w:cs="Tahoma"/>
          <w:sz w:val="18"/>
          <w:szCs w:val="18"/>
          <w:lang w:val="es-ES"/>
        </w:rPr>
        <w:t>l</w:t>
      </w:r>
      <w:r>
        <w:rPr>
          <w:rFonts w:cs="Tahoma"/>
          <w:sz w:val="18"/>
          <w:szCs w:val="18"/>
          <w:lang w:val="es-ES"/>
        </w:rPr>
        <w:t>o</w:t>
      </w:r>
      <w:r w:rsidR="007B1571" w:rsidRPr="00AF274C">
        <w:rPr>
          <w:rFonts w:cs="Tahoma"/>
          <w:sz w:val="18"/>
          <w:szCs w:val="18"/>
          <w:lang w:val="es-ES"/>
        </w:rPr>
        <w:t>s pacient</w:t>
      </w:r>
      <w:r>
        <w:rPr>
          <w:rFonts w:cs="Tahoma"/>
          <w:sz w:val="18"/>
          <w:szCs w:val="18"/>
          <w:lang w:val="es-ES"/>
        </w:rPr>
        <w:t>es que no lo</w:t>
      </w:r>
      <w:r w:rsidR="007B1571" w:rsidRPr="00AF274C">
        <w:rPr>
          <w:rFonts w:cs="Tahoma"/>
          <w:sz w:val="18"/>
          <w:szCs w:val="18"/>
          <w:lang w:val="es-ES"/>
        </w:rPr>
        <w:t xml:space="preserve">s </w:t>
      </w:r>
      <w:r w:rsidR="00AF274C">
        <w:rPr>
          <w:rFonts w:cs="Tahoma"/>
          <w:sz w:val="18"/>
          <w:szCs w:val="18"/>
          <w:lang w:val="es-ES"/>
        </w:rPr>
        <w:t>necesitan</w:t>
      </w:r>
      <w:r w:rsidR="007B1571" w:rsidRPr="00AF274C">
        <w:rPr>
          <w:rFonts w:cs="Tahoma"/>
          <w:sz w:val="18"/>
          <w:szCs w:val="18"/>
          <w:lang w:val="es-ES"/>
        </w:rPr>
        <w:t>.</w:t>
      </w:r>
    </w:p>
    <w:p w:rsidR="00B14968" w:rsidRPr="00AF274C" w:rsidRDefault="00B14968" w:rsidP="00B14968">
      <w:pPr>
        <w:ind w:left="426" w:hanging="142"/>
        <w:rPr>
          <w:rFonts w:cs="Tahoma"/>
          <w:sz w:val="18"/>
          <w:szCs w:val="18"/>
          <w:lang w:val="es-ES"/>
        </w:rPr>
      </w:pPr>
    </w:p>
    <w:p w:rsidR="007B1571" w:rsidRPr="00AF274C" w:rsidRDefault="007B1571" w:rsidP="00A10828">
      <w:pPr>
        <w:rPr>
          <w:rFonts w:cs="Tahoma"/>
          <w:sz w:val="18"/>
          <w:szCs w:val="18"/>
          <w:lang w:val="es-ES"/>
        </w:rPr>
      </w:pPr>
    </w:p>
    <w:p w:rsidR="00ED46C8" w:rsidRPr="00AF274C" w:rsidRDefault="00B9771E" w:rsidP="00C4716E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Uso</w:t>
      </w:r>
      <w:r w:rsidR="00A06D18" w:rsidRPr="00AF274C">
        <w:rPr>
          <w:b/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lang w:val="es-ES"/>
        </w:rPr>
        <w:t>simultáneo</w:t>
      </w:r>
      <w:r w:rsidR="00A06D18" w:rsidRPr="00AF274C">
        <w:rPr>
          <w:b/>
          <w:sz w:val="20"/>
          <w:szCs w:val="20"/>
          <w:lang w:val="es-ES"/>
        </w:rPr>
        <w:t xml:space="preserve"> de </w:t>
      </w:r>
      <w:r w:rsidR="00AF274C">
        <w:rPr>
          <w:b/>
          <w:sz w:val="20"/>
          <w:szCs w:val="20"/>
          <w:lang w:val="es-ES"/>
        </w:rPr>
        <w:t>varios</w:t>
      </w:r>
      <w:r w:rsidR="00A06D18" w:rsidRPr="00AF274C">
        <w:rPr>
          <w:b/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lang w:val="es-ES"/>
        </w:rPr>
        <w:t>fármacos</w:t>
      </w:r>
    </w:p>
    <w:p w:rsidR="00ED46C8" w:rsidRPr="00AF274C" w:rsidRDefault="00ED46C8" w:rsidP="00ED46C8">
      <w:pPr>
        <w:rPr>
          <w:rFonts w:cs="Tahoma"/>
          <w:sz w:val="20"/>
          <w:szCs w:val="20"/>
          <w:lang w:val="es-ES"/>
        </w:rPr>
      </w:pPr>
    </w:p>
    <w:p w:rsidR="00250862" w:rsidRPr="00AF274C" w:rsidRDefault="00A06D18" w:rsidP="00C4716E">
      <w:pPr>
        <w:rPr>
          <w:rFonts w:cs="Tahoma"/>
          <w:sz w:val="20"/>
          <w:szCs w:val="20"/>
          <w:lang w:val="es-ES"/>
        </w:rPr>
      </w:pPr>
      <w:r w:rsidRPr="00AF274C">
        <w:rPr>
          <w:rFonts w:cs="Tahoma"/>
          <w:sz w:val="20"/>
          <w:szCs w:val="20"/>
          <w:lang w:val="es-ES"/>
        </w:rPr>
        <w:t>E</w:t>
      </w:r>
      <w:r w:rsidR="00ED46C8" w:rsidRPr="00AF274C">
        <w:rPr>
          <w:rFonts w:cs="Tahoma"/>
          <w:sz w:val="20"/>
          <w:szCs w:val="20"/>
          <w:lang w:val="es-ES"/>
        </w:rPr>
        <w:t>l</w:t>
      </w:r>
      <w:r w:rsidR="002E43FA" w:rsidRPr="00AF274C">
        <w:rPr>
          <w:rFonts w:cs="Tahoma"/>
          <w:sz w:val="20"/>
          <w:szCs w:val="20"/>
          <w:lang w:val="es-ES"/>
        </w:rPr>
        <w:t xml:space="preserve"> </w:t>
      </w:r>
      <w:r w:rsidR="00AF274C">
        <w:rPr>
          <w:rFonts w:cs="Tahoma"/>
          <w:sz w:val="20"/>
          <w:szCs w:val="20"/>
          <w:lang w:val="es-ES"/>
        </w:rPr>
        <w:t>consumo</w:t>
      </w:r>
      <w:r w:rsidR="00B9771E">
        <w:rPr>
          <w:rFonts w:cs="Tahoma"/>
          <w:sz w:val="20"/>
          <w:szCs w:val="20"/>
          <w:lang w:val="es-ES"/>
        </w:rPr>
        <w:t xml:space="preserve"> simultáneo</w:t>
      </w:r>
      <w:r w:rsidR="002E43FA" w:rsidRPr="00AF274C">
        <w:rPr>
          <w:rFonts w:cs="Tahoma"/>
          <w:sz w:val="20"/>
          <w:szCs w:val="20"/>
          <w:lang w:val="es-ES"/>
        </w:rPr>
        <w:t xml:space="preserve"> de</w:t>
      </w:r>
      <w:r w:rsidR="00B9771E">
        <w:rPr>
          <w:rFonts w:cs="Tahoma"/>
          <w:sz w:val="20"/>
          <w:szCs w:val="20"/>
          <w:lang w:val="es-ES"/>
        </w:rPr>
        <w:t xml:space="preserve"> </w:t>
      </w:r>
      <w:r w:rsidR="002E43FA" w:rsidRPr="00AF274C">
        <w:rPr>
          <w:rFonts w:cs="Tahoma"/>
          <w:sz w:val="20"/>
          <w:szCs w:val="20"/>
          <w:lang w:val="es-ES"/>
        </w:rPr>
        <w:t>l</w:t>
      </w:r>
      <w:r w:rsidR="00B9771E">
        <w:rPr>
          <w:rFonts w:cs="Tahoma"/>
          <w:sz w:val="20"/>
          <w:szCs w:val="20"/>
          <w:lang w:val="es-ES"/>
        </w:rPr>
        <w:t>o</w:t>
      </w:r>
      <w:r w:rsidR="00250862" w:rsidRPr="00AF274C">
        <w:rPr>
          <w:rFonts w:cs="Tahoma"/>
          <w:sz w:val="20"/>
          <w:szCs w:val="20"/>
          <w:lang w:val="es-ES"/>
        </w:rPr>
        <w:t xml:space="preserve">s </w:t>
      </w:r>
      <w:r w:rsidR="00B9771E">
        <w:rPr>
          <w:rFonts w:cs="Tahoma"/>
          <w:sz w:val="20"/>
          <w:szCs w:val="20"/>
          <w:lang w:val="es-ES"/>
        </w:rPr>
        <w:t xml:space="preserve">fármacos revisados en </w:t>
      </w:r>
      <w:r w:rsidR="002E43FA" w:rsidRPr="00AF274C">
        <w:rPr>
          <w:rFonts w:cs="Tahoma"/>
          <w:sz w:val="20"/>
          <w:szCs w:val="20"/>
          <w:lang w:val="es-ES"/>
        </w:rPr>
        <w:t>est</w:t>
      </w:r>
      <w:r w:rsidR="00B9771E">
        <w:rPr>
          <w:rFonts w:cs="Tahoma"/>
          <w:sz w:val="20"/>
          <w:szCs w:val="20"/>
          <w:lang w:val="es-ES"/>
        </w:rPr>
        <w:t>e</w:t>
      </w:r>
      <w:r w:rsidR="002E43FA" w:rsidRPr="00AF274C">
        <w:rPr>
          <w:rFonts w:cs="Tahoma"/>
          <w:sz w:val="20"/>
          <w:szCs w:val="20"/>
          <w:lang w:val="es-ES"/>
        </w:rPr>
        <w:t xml:space="preserve"> informe</w:t>
      </w:r>
      <w:r w:rsidR="00ED46C8" w:rsidRPr="00AF274C">
        <w:rPr>
          <w:rFonts w:cs="Tahoma"/>
          <w:sz w:val="20"/>
          <w:szCs w:val="20"/>
          <w:lang w:val="es-ES"/>
        </w:rPr>
        <w:t xml:space="preserve"> </w:t>
      </w:r>
      <w:r w:rsidR="00250862" w:rsidRPr="00AF274C">
        <w:rPr>
          <w:rFonts w:cs="Tahoma"/>
          <w:sz w:val="20"/>
          <w:szCs w:val="20"/>
          <w:lang w:val="es-ES"/>
        </w:rPr>
        <w:t>multiplica</w:t>
      </w:r>
      <w:r w:rsidR="00ED46C8" w:rsidRPr="00AF274C">
        <w:rPr>
          <w:rFonts w:cs="Tahoma"/>
          <w:sz w:val="20"/>
          <w:szCs w:val="20"/>
          <w:lang w:val="es-ES"/>
        </w:rPr>
        <w:t xml:space="preserve"> </w:t>
      </w:r>
      <w:r w:rsidR="00B9771E">
        <w:rPr>
          <w:rFonts w:cs="Tahoma"/>
          <w:sz w:val="20"/>
          <w:szCs w:val="20"/>
          <w:lang w:val="es-ES"/>
        </w:rPr>
        <w:t>los</w:t>
      </w:r>
      <w:r w:rsidR="00250862" w:rsidRPr="00AF274C">
        <w:rPr>
          <w:rFonts w:cs="Tahoma"/>
          <w:sz w:val="20"/>
          <w:szCs w:val="20"/>
          <w:lang w:val="es-ES"/>
        </w:rPr>
        <w:t xml:space="preserve"> increment</w:t>
      </w:r>
      <w:r w:rsidR="00B9771E">
        <w:rPr>
          <w:rFonts w:cs="Tahoma"/>
          <w:sz w:val="20"/>
          <w:szCs w:val="20"/>
          <w:lang w:val="es-ES"/>
        </w:rPr>
        <w:t>o</w:t>
      </w:r>
      <w:r w:rsidR="00250862" w:rsidRPr="00AF274C">
        <w:rPr>
          <w:rFonts w:cs="Tahoma"/>
          <w:sz w:val="20"/>
          <w:szCs w:val="20"/>
          <w:lang w:val="es-ES"/>
        </w:rPr>
        <w:t>s d</w:t>
      </w:r>
      <w:r w:rsidR="00ED46C8" w:rsidRPr="00AF274C">
        <w:rPr>
          <w:rFonts w:cs="Tahoma"/>
          <w:sz w:val="20"/>
          <w:szCs w:val="20"/>
          <w:lang w:val="es-ES"/>
        </w:rPr>
        <w:t xml:space="preserve">el </w:t>
      </w:r>
      <w:r w:rsidR="00AF274C">
        <w:rPr>
          <w:rFonts w:cs="Tahoma"/>
          <w:sz w:val="20"/>
          <w:szCs w:val="20"/>
          <w:lang w:val="es-ES"/>
        </w:rPr>
        <w:t>riesgo</w:t>
      </w:r>
      <w:r w:rsidR="00ED46C8" w:rsidRPr="00AF274C">
        <w:rPr>
          <w:rFonts w:cs="Tahoma"/>
          <w:sz w:val="20"/>
          <w:szCs w:val="20"/>
          <w:lang w:val="es-ES"/>
        </w:rPr>
        <w:t xml:space="preserve"> de </w:t>
      </w:r>
      <w:r w:rsidR="00AF274C">
        <w:rPr>
          <w:rFonts w:cs="Tahoma"/>
          <w:sz w:val="20"/>
          <w:szCs w:val="20"/>
          <w:lang w:val="es-ES"/>
        </w:rPr>
        <w:t>neumonía</w:t>
      </w:r>
      <w:r w:rsidR="00ED46C8" w:rsidRPr="00AF274C">
        <w:rPr>
          <w:rFonts w:cs="Tahoma"/>
          <w:sz w:val="20"/>
          <w:szCs w:val="20"/>
          <w:lang w:val="es-ES"/>
        </w:rPr>
        <w:t xml:space="preserve">. </w:t>
      </w:r>
      <w:r w:rsidR="00B9771E">
        <w:rPr>
          <w:rFonts w:cs="Tahoma"/>
          <w:sz w:val="20"/>
          <w:szCs w:val="20"/>
          <w:lang w:val="es-ES"/>
        </w:rPr>
        <w:t xml:space="preserve">También se </w:t>
      </w:r>
      <w:r w:rsidR="00250862" w:rsidRPr="00AF274C">
        <w:rPr>
          <w:rFonts w:cs="Tahoma"/>
          <w:sz w:val="20"/>
          <w:szCs w:val="20"/>
          <w:lang w:val="es-ES"/>
        </w:rPr>
        <w:t>ha descrit</w:t>
      </w:r>
      <w:r w:rsidR="00B9771E">
        <w:rPr>
          <w:rFonts w:cs="Tahoma"/>
          <w:sz w:val="20"/>
          <w:szCs w:val="20"/>
          <w:lang w:val="es-ES"/>
        </w:rPr>
        <w:t>o</w:t>
      </w:r>
      <w:r w:rsidR="00250862" w:rsidRPr="00AF274C">
        <w:rPr>
          <w:rFonts w:cs="Tahoma"/>
          <w:sz w:val="20"/>
          <w:szCs w:val="20"/>
          <w:lang w:val="es-ES"/>
        </w:rPr>
        <w:t xml:space="preserve"> un increment</w:t>
      </w:r>
      <w:r w:rsidR="00B9771E">
        <w:rPr>
          <w:rFonts w:cs="Tahoma"/>
          <w:sz w:val="20"/>
          <w:szCs w:val="20"/>
          <w:lang w:val="es-ES"/>
        </w:rPr>
        <w:t>o</w:t>
      </w:r>
      <w:r w:rsidR="00250862" w:rsidRPr="00AF274C">
        <w:rPr>
          <w:rFonts w:cs="Tahoma"/>
          <w:sz w:val="20"/>
          <w:szCs w:val="20"/>
          <w:lang w:val="es-ES"/>
        </w:rPr>
        <w:t xml:space="preserve"> de </w:t>
      </w:r>
      <w:r w:rsidR="00AF274C">
        <w:rPr>
          <w:rFonts w:cs="Tahoma"/>
          <w:sz w:val="20"/>
          <w:szCs w:val="20"/>
          <w:lang w:val="es-ES"/>
        </w:rPr>
        <w:t>riesgo</w:t>
      </w:r>
      <w:r w:rsidR="00B9771E">
        <w:rPr>
          <w:rFonts w:cs="Tahoma"/>
          <w:sz w:val="20"/>
          <w:szCs w:val="20"/>
          <w:lang w:val="es-ES"/>
        </w:rPr>
        <w:t xml:space="preserve"> en los</w:t>
      </w:r>
      <w:r w:rsidR="00250862" w:rsidRPr="00AF274C">
        <w:rPr>
          <w:rFonts w:cs="Tahoma"/>
          <w:sz w:val="20"/>
          <w:szCs w:val="20"/>
          <w:lang w:val="es-ES"/>
        </w:rPr>
        <w:t xml:space="preserve"> </w:t>
      </w:r>
      <w:r w:rsidR="00B9771E">
        <w:rPr>
          <w:rFonts w:cs="Tahoma"/>
          <w:sz w:val="20"/>
          <w:szCs w:val="20"/>
          <w:lang w:val="es-ES"/>
        </w:rPr>
        <w:t>consum</w:t>
      </w:r>
      <w:r w:rsidR="00250862" w:rsidRPr="00AF274C">
        <w:rPr>
          <w:rFonts w:cs="Tahoma"/>
          <w:sz w:val="20"/>
          <w:szCs w:val="20"/>
          <w:lang w:val="es-ES"/>
        </w:rPr>
        <w:t>idor</w:t>
      </w:r>
      <w:r w:rsidR="00B9771E">
        <w:rPr>
          <w:rFonts w:cs="Tahoma"/>
          <w:sz w:val="20"/>
          <w:szCs w:val="20"/>
          <w:lang w:val="es-ES"/>
        </w:rPr>
        <w:t>e</w:t>
      </w:r>
      <w:r w:rsidR="00250862" w:rsidRPr="00AF274C">
        <w:rPr>
          <w:rFonts w:cs="Tahoma"/>
          <w:sz w:val="20"/>
          <w:szCs w:val="20"/>
          <w:lang w:val="es-ES"/>
        </w:rPr>
        <w:t>s s</w:t>
      </w:r>
      <w:r w:rsidR="00B9771E">
        <w:rPr>
          <w:rFonts w:cs="Tahoma"/>
          <w:sz w:val="20"/>
          <w:szCs w:val="20"/>
          <w:lang w:val="es-ES"/>
        </w:rPr>
        <w:t>imultáneos de corticoides inhalado</w:t>
      </w:r>
      <w:r w:rsidR="00250862" w:rsidRPr="00AF274C">
        <w:rPr>
          <w:rFonts w:cs="Tahoma"/>
          <w:sz w:val="20"/>
          <w:szCs w:val="20"/>
          <w:lang w:val="es-ES"/>
        </w:rPr>
        <w:t xml:space="preserve">s, </w:t>
      </w:r>
      <w:r w:rsidR="00AF274C">
        <w:rPr>
          <w:rFonts w:cs="Tahoma"/>
          <w:sz w:val="20"/>
          <w:szCs w:val="20"/>
          <w:lang w:val="es-ES"/>
        </w:rPr>
        <w:t>antipsicóticos</w:t>
      </w:r>
      <w:r w:rsidR="00B9771E">
        <w:rPr>
          <w:rFonts w:cs="Tahoma"/>
          <w:sz w:val="20"/>
          <w:szCs w:val="20"/>
          <w:lang w:val="es-ES"/>
        </w:rPr>
        <w:t xml:space="preserve"> e</w:t>
      </w:r>
      <w:r w:rsidR="00250862" w:rsidRPr="00AF274C">
        <w:rPr>
          <w:rFonts w:cs="Tahoma"/>
          <w:sz w:val="20"/>
          <w:szCs w:val="20"/>
          <w:lang w:val="es-ES"/>
        </w:rPr>
        <w:t xml:space="preserve"> inhibidor</w:t>
      </w:r>
      <w:r w:rsidR="00B9771E">
        <w:rPr>
          <w:rFonts w:cs="Tahoma"/>
          <w:sz w:val="20"/>
          <w:szCs w:val="20"/>
          <w:lang w:val="es-ES"/>
        </w:rPr>
        <w:t>e</w:t>
      </w:r>
      <w:r w:rsidR="00250862" w:rsidRPr="00AF274C">
        <w:rPr>
          <w:rFonts w:cs="Tahoma"/>
          <w:sz w:val="20"/>
          <w:szCs w:val="20"/>
          <w:lang w:val="es-ES"/>
        </w:rPr>
        <w:t>s de la bomba de proton</w:t>
      </w:r>
      <w:r w:rsidR="00B9771E">
        <w:rPr>
          <w:rFonts w:cs="Tahoma"/>
          <w:sz w:val="20"/>
          <w:szCs w:val="20"/>
          <w:lang w:val="es-ES"/>
        </w:rPr>
        <w:t>e</w:t>
      </w:r>
      <w:r w:rsidR="00250862" w:rsidRPr="00AF274C">
        <w:rPr>
          <w:rFonts w:cs="Tahoma"/>
          <w:sz w:val="20"/>
          <w:szCs w:val="20"/>
          <w:lang w:val="es-ES"/>
        </w:rPr>
        <w:t>s.</w:t>
      </w:r>
      <w:r w:rsidR="00250862" w:rsidRPr="00AF274C">
        <w:rPr>
          <w:rStyle w:val="Refdenotaalfinal"/>
          <w:rFonts w:cs="Tahoma"/>
          <w:sz w:val="20"/>
          <w:szCs w:val="20"/>
          <w:lang w:val="es-ES"/>
        </w:rPr>
        <w:endnoteReference w:id="37"/>
      </w:r>
    </w:p>
    <w:p w:rsidR="00250862" w:rsidRPr="00AF274C" w:rsidRDefault="00250862" w:rsidP="00C4716E">
      <w:pPr>
        <w:rPr>
          <w:rFonts w:cs="Tahoma"/>
          <w:sz w:val="20"/>
          <w:szCs w:val="20"/>
          <w:lang w:val="es-ES"/>
        </w:rPr>
      </w:pPr>
    </w:p>
    <w:p w:rsidR="00250862" w:rsidRPr="00AF274C" w:rsidRDefault="00581206" w:rsidP="00250862">
      <w:pPr>
        <w:ind w:left="426" w:hanging="142"/>
        <w:rPr>
          <w:sz w:val="18"/>
          <w:szCs w:val="18"/>
          <w:lang w:val="es-ES"/>
        </w:rPr>
      </w:pPr>
      <w:r>
        <w:rPr>
          <w:rFonts w:cs="Tahoma"/>
          <w:sz w:val="18"/>
          <w:szCs w:val="18"/>
          <w:lang w:val="es-ES"/>
        </w:rPr>
        <w:t>En</w:t>
      </w:r>
      <w:r w:rsidR="00ED46C8" w:rsidRPr="00AF274C">
        <w:rPr>
          <w:rFonts w:cs="Tahoma"/>
          <w:sz w:val="18"/>
          <w:szCs w:val="18"/>
          <w:lang w:val="es-ES"/>
        </w:rPr>
        <w:t xml:space="preserve"> </w:t>
      </w:r>
      <w:r w:rsidR="00035F84">
        <w:rPr>
          <w:rFonts w:cs="Tahoma"/>
          <w:sz w:val="18"/>
          <w:szCs w:val="18"/>
          <w:lang w:val="es-ES"/>
        </w:rPr>
        <w:t>España</w:t>
      </w:r>
      <w:r w:rsidR="007B1571" w:rsidRPr="00AF274C">
        <w:rPr>
          <w:rFonts w:cs="Tahoma"/>
          <w:sz w:val="18"/>
          <w:szCs w:val="18"/>
          <w:lang w:val="es-ES"/>
        </w:rPr>
        <w:t xml:space="preserve"> la prescripció</w:t>
      </w:r>
      <w:r>
        <w:rPr>
          <w:rFonts w:cs="Tahoma"/>
          <w:sz w:val="18"/>
          <w:szCs w:val="18"/>
          <w:lang w:val="es-ES"/>
        </w:rPr>
        <w:t>n</w:t>
      </w:r>
      <w:r w:rsidR="007B1571" w:rsidRPr="00AF274C">
        <w:rPr>
          <w:rFonts w:cs="Tahoma"/>
          <w:sz w:val="18"/>
          <w:szCs w:val="18"/>
          <w:lang w:val="es-ES"/>
        </w:rPr>
        <w:t xml:space="preserve"> de </w:t>
      </w:r>
      <w:r>
        <w:rPr>
          <w:rFonts w:cs="Tahoma"/>
          <w:sz w:val="18"/>
          <w:szCs w:val="18"/>
          <w:lang w:val="es-ES"/>
        </w:rPr>
        <w:t>psico</w:t>
      </w:r>
      <w:r w:rsidR="00B9771E">
        <w:rPr>
          <w:rFonts w:cs="Tahoma"/>
          <w:sz w:val="18"/>
          <w:szCs w:val="18"/>
          <w:lang w:val="es-ES"/>
        </w:rPr>
        <w:t>fármacos</w:t>
      </w:r>
      <w:r w:rsidR="00ED46C8" w:rsidRPr="00AF274C">
        <w:rPr>
          <w:rFonts w:cs="Tahoma"/>
          <w:sz w:val="18"/>
          <w:szCs w:val="18"/>
          <w:lang w:val="es-ES"/>
        </w:rPr>
        <w:t xml:space="preserve"> </w:t>
      </w:r>
      <w:r w:rsidR="00035F84">
        <w:rPr>
          <w:rFonts w:cs="Tahoma"/>
          <w:sz w:val="18"/>
          <w:szCs w:val="18"/>
          <w:lang w:val="es-ES"/>
        </w:rPr>
        <w:t xml:space="preserve">y de </w:t>
      </w:r>
      <w:r w:rsidR="007B1571" w:rsidRPr="00AF274C">
        <w:rPr>
          <w:rFonts w:cs="Tahoma"/>
          <w:sz w:val="18"/>
          <w:szCs w:val="18"/>
          <w:lang w:val="es-ES"/>
        </w:rPr>
        <w:t xml:space="preserve">omeprazol </w:t>
      </w:r>
      <w:r w:rsidR="00ED46C8" w:rsidRPr="00AF274C">
        <w:rPr>
          <w:rFonts w:cs="Tahoma"/>
          <w:sz w:val="18"/>
          <w:szCs w:val="18"/>
          <w:lang w:val="es-ES"/>
        </w:rPr>
        <w:t>a la</w:t>
      </w:r>
      <w:r w:rsidR="00B9771E">
        <w:rPr>
          <w:rFonts w:cs="Tahoma"/>
          <w:sz w:val="18"/>
          <w:szCs w:val="18"/>
          <w:lang w:val="es-ES"/>
        </w:rPr>
        <w:t>s personas de edad avanzada</w:t>
      </w:r>
      <w:r w:rsidR="00ED46C8" w:rsidRPr="00AF274C">
        <w:rPr>
          <w:rFonts w:cs="Tahoma"/>
          <w:sz w:val="18"/>
          <w:szCs w:val="18"/>
          <w:lang w:val="es-ES"/>
        </w:rPr>
        <w:t xml:space="preserve"> </w:t>
      </w:r>
      <w:r w:rsidR="00B9771E">
        <w:rPr>
          <w:rFonts w:cs="Tahoma"/>
          <w:sz w:val="18"/>
          <w:szCs w:val="18"/>
          <w:lang w:val="es-ES"/>
        </w:rPr>
        <w:t>e</w:t>
      </w:r>
      <w:r w:rsidR="00C4716E" w:rsidRPr="00AF274C">
        <w:rPr>
          <w:rFonts w:cs="Tahoma"/>
          <w:sz w:val="18"/>
          <w:szCs w:val="18"/>
          <w:lang w:val="es-ES"/>
        </w:rPr>
        <w:t>s considerablement</w:t>
      </w:r>
      <w:r w:rsidR="00B9771E">
        <w:rPr>
          <w:rFonts w:cs="Tahoma"/>
          <w:sz w:val="18"/>
          <w:szCs w:val="18"/>
          <w:lang w:val="es-ES"/>
        </w:rPr>
        <w:t>e má</w:t>
      </w:r>
      <w:r>
        <w:rPr>
          <w:rFonts w:cs="Tahoma"/>
          <w:sz w:val="18"/>
          <w:szCs w:val="18"/>
          <w:lang w:val="es-ES"/>
        </w:rPr>
        <w:t>s frecuente</w:t>
      </w:r>
      <w:r w:rsidR="00B9771E">
        <w:rPr>
          <w:rFonts w:cs="Tahoma"/>
          <w:sz w:val="18"/>
          <w:szCs w:val="18"/>
          <w:lang w:val="es-ES"/>
        </w:rPr>
        <w:t xml:space="preserve"> que en</w:t>
      </w:r>
      <w:r>
        <w:rPr>
          <w:rFonts w:cs="Tahoma"/>
          <w:sz w:val="18"/>
          <w:szCs w:val="18"/>
          <w:lang w:val="es-ES"/>
        </w:rPr>
        <w:t xml:space="preserve"> otros paíse</w:t>
      </w:r>
      <w:r w:rsidR="00C4716E" w:rsidRPr="00AF274C">
        <w:rPr>
          <w:rFonts w:cs="Tahoma"/>
          <w:sz w:val="18"/>
          <w:szCs w:val="18"/>
          <w:lang w:val="es-ES"/>
        </w:rPr>
        <w:t>s</w:t>
      </w:r>
      <w:r>
        <w:rPr>
          <w:rFonts w:cs="Tahoma"/>
          <w:sz w:val="18"/>
          <w:szCs w:val="18"/>
          <w:lang w:val="es-ES"/>
        </w:rPr>
        <w:t>. En</w:t>
      </w:r>
      <w:r w:rsidR="00ED46C8" w:rsidRPr="00AF274C">
        <w:rPr>
          <w:rFonts w:cs="Tahoma"/>
          <w:sz w:val="18"/>
          <w:szCs w:val="18"/>
          <w:lang w:val="es-ES"/>
        </w:rPr>
        <w:t xml:space="preserve"> 2015</w:t>
      </w:r>
      <w:r w:rsidR="00C4716E" w:rsidRPr="00AF274C">
        <w:rPr>
          <w:rFonts w:cs="Tahoma"/>
          <w:sz w:val="18"/>
          <w:szCs w:val="18"/>
          <w:lang w:val="es-ES"/>
        </w:rPr>
        <w:t>,</w:t>
      </w:r>
      <w:r w:rsidR="00035F84">
        <w:rPr>
          <w:rFonts w:cs="Tahoma"/>
          <w:sz w:val="18"/>
          <w:szCs w:val="18"/>
          <w:lang w:val="es-ES"/>
        </w:rPr>
        <w:t xml:space="preserve"> en Cataluña</w:t>
      </w:r>
      <w:r w:rsidR="00ED46C8" w:rsidRPr="00AF274C">
        <w:rPr>
          <w:rFonts w:cs="Tahoma"/>
          <w:sz w:val="18"/>
          <w:szCs w:val="18"/>
          <w:lang w:val="es-ES"/>
        </w:rPr>
        <w:t xml:space="preserve"> </w:t>
      </w:r>
      <w:r>
        <w:rPr>
          <w:b/>
          <w:sz w:val="18"/>
          <w:szCs w:val="18"/>
          <w:lang w:val="es-ES"/>
        </w:rPr>
        <w:t>505.143 persona</w:t>
      </w:r>
      <w:r w:rsidR="00ED46C8" w:rsidRPr="00AF274C">
        <w:rPr>
          <w:b/>
          <w:sz w:val="18"/>
          <w:szCs w:val="18"/>
          <w:lang w:val="es-ES"/>
        </w:rPr>
        <w:t xml:space="preserve">s </w:t>
      </w:r>
      <w:r w:rsidR="00A06D18" w:rsidRPr="00AF274C">
        <w:rPr>
          <w:b/>
          <w:sz w:val="18"/>
          <w:szCs w:val="18"/>
          <w:lang w:val="es-ES"/>
        </w:rPr>
        <w:t>(</w:t>
      </w:r>
      <w:r w:rsidR="00ED46C8" w:rsidRPr="00AF274C">
        <w:rPr>
          <w:b/>
          <w:sz w:val="18"/>
          <w:szCs w:val="18"/>
          <w:lang w:val="es-ES"/>
        </w:rPr>
        <w:t>51% de</w:t>
      </w:r>
      <w:r>
        <w:rPr>
          <w:b/>
          <w:sz w:val="18"/>
          <w:szCs w:val="18"/>
          <w:lang w:val="es-ES"/>
        </w:rPr>
        <w:t xml:space="preserve"> </w:t>
      </w:r>
      <w:r w:rsidR="00ED46C8" w:rsidRPr="00AF274C">
        <w:rPr>
          <w:b/>
          <w:sz w:val="18"/>
          <w:szCs w:val="18"/>
          <w:lang w:val="es-ES"/>
        </w:rPr>
        <w:t>l</w:t>
      </w:r>
      <w:r>
        <w:rPr>
          <w:b/>
          <w:sz w:val="18"/>
          <w:szCs w:val="18"/>
          <w:lang w:val="es-ES"/>
        </w:rPr>
        <w:t>os de mayores de 70 año</w:t>
      </w:r>
      <w:r w:rsidR="00ED46C8" w:rsidRPr="00AF274C">
        <w:rPr>
          <w:b/>
          <w:sz w:val="18"/>
          <w:szCs w:val="18"/>
          <w:lang w:val="es-ES"/>
        </w:rPr>
        <w:t>s</w:t>
      </w:r>
      <w:r>
        <w:rPr>
          <w:b/>
          <w:sz w:val="18"/>
          <w:szCs w:val="18"/>
          <w:lang w:val="es-ES"/>
        </w:rPr>
        <w:t>) recibieron algú</w:t>
      </w:r>
      <w:r w:rsidR="002E43FA" w:rsidRPr="00AF274C">
        <w:rPr>
          <w:b/>
          <w:sz w:val="18"/>
          <w:szCs w:val="18"/>
          <w:lang w:val="es-ES"/>
        </w:rPr>
        <w:t>n</w:t>
      </w:r>
      <w:r w:rsidR="00A06D18" w:rsidRPr="00AF274C">
        <w:rPr>
          <w:b/>
          <w:sz w:val="18"/>
          <w:szCs w:val="18"/>
          <w:lang w:val="es-ES"/>
        </w:rPr>
        <w:t xml:space="preserve"> </w:t>
      </w:r>
      <w:r>
        <w:rPr>
          <w:b/>
          <w:sz w:val="18"/>
          <w:szCs w:val="18"/>
          <w:lang w:val="es-ES"/>
        </w:rPr>
        <w:t>fármaco depres</w:t>
      </w:r>
      <w:r w:rsidR="002E43FA" w:rsidRPr="00AF274C">
        <w:rPr>
          <w:b/>
          <w:sz w:val="18"/>
          <w:szCs w:val="18"/>
          <w:lang w:val="es-ES"/>
        </w:rPr>
        <w:t>or de sistema nerv</w:t>
      </w:r>
      <w:r w:rsidR="00035F84">
        <w:rPr>
          <w:b/>
          <w:sz w:val="18"/>
          <w:szCs w:val="18"/>
          <w:lang w:val="es-ES"/>
        </w:rPr>
        <w:t>i</w:t>
      </w:r>
      <w:r>
        <w:rPr>
          <w:b/>
          <w:sz w:val="18"/>
          <w:szCs w:val="18"/>
          <w:lang w:val="es-ES"/>
        </w:rPr>
        <w:t>oso</w:t>
      </w:r>
      <w:r w:rsidR="00B9771E">
        <w:rPr>
          <w:sz w:val="18"/>
          <w:szCs w:val="18"/>
          <w:lang w:val="es-ES"/>
        </w:rPr>
        <w:t>. En</w:t>
      </w:r>
      <w:r w:rsidR="00035F84">
        <w:rPr>
          <w:sz w:val="18"/>
          <w:szCs w:val="18"/>
          <w:lang w:val="es-ES"/>
        </w:rPr>
        <w:t xml:space="preserve"> la</w:t>
      </w:r>
      <w:r w:rsidR="00B9771E">
        <w:rPr>
          <w:sz w:val="18"/>
          <w:szCs w:val="18"/>
          <w:lang w:val="es-ES"/>
        </w:rPr>
        <w:t>s persona</w:t>
      </w:r>
      <w:r>
        <w:rPr>
          <w:sz w:val="18"/>
          <w:szCs w:val="18"/>
          <w:lang w:val="es-ES"/>
        </w:rPr>
        <w:t>s que viv</w:t>
      </w:r>
      <w:r w:rsidR="00ED46C8" w:rsidRPr="00AF274C">
        <w:rPr>
          <w:sz w:val="18"/>
          <w:szCs w:val="18"/>
          <w:lang w:val="es-ES"/>
        </w:rPr>
        <w:t xml:space="preserve">en en </w:t>
      </w:r>
      <w:r>
        <w:rPr>
          <w:b/>
          <w:sz w:val="18"/>
          <w:szCs w:val="18"/>
          <w:lang w:val="es-ES"/>
        </w:rPr>
        <w:t>reside</w:t>
      </w:r>
      <w:r w:rsidR="00B9771E">
        <w:rPr>
          <w:b/>
          <w:sz w:val="18"/>
          <w:szCs w:val="18"/>
          <w:lang w:val="es-ES"/>
        </w:rPr>
        <w:t>ncia</w:t>
      </w:r>
      <w:r w:rsidR="00A06D18" w:rsidRPr="00AF274C">
        <w:rPr>
          <w:b/>
          <w:sz w:val="18"/>
          <w:szCs w:val="18"/>
          <w:lang w:val="es-ES"/>
        </w:rPr>
        <w:t>s</w:t>
      </w:r>
      <w:r>
        <w:rPr>
          <w:b/>
          <w:sz w:val="18"/>
          <w:szCs w:val="18"/>
          <w:lang w:val="es-ES"/>
        </w:rPr>
        <w:t xml:space="preserve"> </w:t>
      </w:r>
      <w:r w:rsidR="00ED46C8" w:rsidRPr="00AF274C">
        <w:rPr>
          <w:b/>
          <w:sz w:val="18"/>
          <w:szCs w:val="18"/>
          <w:lang w:val="es-ES"/>
        </w:rPr>
        <w:t>esta proporció</w:t>
      </w:r>
      <w:r>
        <w:rPr>
          <w:b/>
          <w:sz w:val="18"/>
          <w:szCs w:val="18"/>
          <w:lang w:val="es-ES"/>
        </w:rPr>
        <w:t>n</w:t>
      </w:r>
      <w:r w:rsidR="00B9771E">
        <w:rPr>
          <w:b/>
          <w:sz w:val="18"/>
          <w:szCs w:val="18"/>
          <w:lang w:val="es-ES"/>
        </w:rPr>
        <w:t xml:space="preserve"> fue</w:t>
      </w:r>
      <w:r w:rsidR="00ED46C8" w:rsidRPr="00AF274C">
        <w:rPr>
          <w:b/>
          <w:sz w:val="18"/>
          <w:szCs w:val="18"/>
          <w:lang w:val="es-ES"/>
        </w:rPr>
        <w:t xml:space="preserve"> de 68%</w:t>
      </w:r>
      <w:r w:rsidR="00250862" w:rsidRPr="00AF274C">
        <w:rPr>
          <w:rFonts w:cs="Tahoma"/>
          <w:sz w:val="18"/>
          <w:szCs w:val="18"/>
          <w:lang w:val="es-ES"/>
        </w:rPr>
        <w:t xml:space="preserve"> (figura 2).</w:t>
      </w:r>
      <w:r>
        <w:rPr>
          <w:sz w:val="18"/>
          <w:szCs w:val="18"/>
          <w:lang w:val="es-ES"/>
        </w:rPr>
        <w:t xml:space="preserve"> Más de </w:t>
      </w:r>
      <w:r w:rsidR="00250862" w:rsidRPr="00AF274C">
        <w:rPr>
          <w:sz w:val="18"/>
          <w:szCs w:val="18"/>
          <w:lang w:val="es-ES"/>
        </w:rPr>
        <w:t>un 10% de</w:t>
      </w:r>
      <w:r>
        <w:rPr>
          <w:sz w:val="18"/>
          <w:szCs w:val="18"/>
          <w:lang w:val="es-ES"/>
        </w:rPr>
        <w:t xml:space="preserve"> </w:t>
      </w:r>
      <w:r w:rsidR="00250862" w:rsidRPr="00AF274C">
        <w:rPr>
          <w:sz w:val="18"/>
          <w:szCs w:val="18"/>
          <w:lang w:val="es-ES"/>
        </w:rPr>
        <w:t>l</w:t>
      </w:r>
      <w:r>
        <w:rPr>
          <w:sz w:val="18"/>
          <w:szCs w:val="18"/>
          <w:lang w:val="es-ES"/>
        </w:rPr>
        <w:t>o</w:t>
      </w:r>
      <w:r w:rsidR="00250862" w:rsidRPr="00AF274C">
        <w:rPr>
          <w:sz w:val="18"/>
          <w:szCs w:val="18"/>
          <w:lang w:val="es-ES"/>
        </w:rPr>
        <w:t xml:space="preserve">s </w:t>
      </w:r>
      <w:r w:rsidR="00FA2E86">
        <w:rPr>
          <w:sz w:val="18"/>
          <w:szCs w:val="18"/>
          <w:lang w:val="es-ES"/>
        </w:rPr>
        <w:t>mayores de</w:t>
      </w:r>
      <w:r w:rsidR="00250862" w:rsidRPr="00AF274C">
        <w:rPr>
          <w:sz w:val="18"/>
          <w:szCs w:val="18"/>
          <w:lang w:val="es-ES"/>
        </w:rPr>
        <w:t xml:space="preserve"> 70 </w:t>
      </w:r>
      <w:r>
        <w:rPr>
          <w:sz w:val="18"/>
          <w:szCs w:val="18"/>
          <w:lang w:val="es-ES"/>
        </w:rPr>
        <w:t>años recibieron</w:t>
      </w:r>
      <w:r w:rsidR="00250862" w:rsidRPr="00AF274C">
        <w:rPr>
          <w:sz w:val="18"/>
          <w:szCs w:val="18"/>
          <w:lang w:val="es-ES"/>
        </w:rPr>
        <w:t xml:space="preserve"> dos </w:t>
      </w:r>
      <w:r>
        <w:rPr>
          <w:sz w:val="18"/>
          <w:szCs w:val="18"/>
          <w:lang w:val="es-ES"/>
        </w:rPr>
        <w:t>psico</w:t>
      </w:r>
      <w:r w:rsidR="00B9771E">
        <w:rPr>
          <w:sz w:val="18"/>
          <w:szCs w:val="18"/>
          <w:lang w:val="es-ES"/>
        </w:rPr>
        <w:t>fármacos</w:t>
      </w:r>
      <w:r>
        <w:rPr>
          <w:sz w:val="18"/>
          <w:szCs w:val="18"/>
          <w:lang w:val="es-ES"/>
        </w:rPr>
        <w:t xml:space="preserve"> de manera simultáne</w:t>
      </w:r>
      <w:r w:rsidR="00250862" w:rsidRPr="00AF274C">
        <w:rPr>
          <w:sz w:val="18"/>
          <w:szCs w:val="18"/>
          <w:lang w:val="es-ES"/>
        </w:rPr>
        <w:t>a.</w:t>
      </w:r>
      <w:r w:rsidR="00250862" w:rsidRPr="00AF274C">
        <w:rPr>
          <w:rStyle w:val="Refdenotaalfinal"/>
          <w:sz w:val="18"/>
          <w:szCs w:val="18"/>
          <w:lang w:val="es-ES"/>
        </w:rPr>
        <w:endnoteReference w:id="38"/>
      </w:r>
    </w:p>
    <w:p w:rsidR="00ED46C8" w:rsidRPr="00AF274C" w:rsidRDefault="00ED46C8" w:rsidP="00250862">
      <w:pPr>
        <w:ind w:left="426" w:hanging="142"/>
        <w:rPr>
          <w:rFonts w:cs="Tahoma"/>
          <w:sz w:val="18"/>
          <w:szCs w:val="18"/>
          <w:lang w:val="es-ES"/>
        </w:rPr>
      </w:pPr>
    </w:p>
    <w:p w:rsidR="00ED46C8" w:rsidRPr="00AF274C" w:rsidRDefault="00ED46C8" w:rsidP="00ED46C8">
      <w:pPr>
        <w:ind w:left="284"/>
        <w:rPr>
          <w:rFonts w:cs="Tahoma"/>
          <w:sz w:val="18"/>
          <w:szCs w:val="18"/>
          <w:lang w:val="es-ES"/>
        </w:rPr>
      </w:pPr>
    </w:p>
    <w:p w:rsidR="002E43FA" w:rsidRPr="00AF274C" w:rsidRDefault="00ED46C8" w:rsidP="002E43FA">
      <w:pPr>
        <w:ind w:left="284"/>
        <w:rPr>
          <w:rFonts w:cs="Tahoma"/>
          <w:sz w:val="18"/>
          <w:szCs w:val="18"/>
          <w:lang w:val="es-ES"/>
        </w:rPr>
      </w:pPr>
      <w:r w:rsidRPr="00AF274C">
        <w:rPr>
          <w:rFonts w:cs="Tahoma"/>
          <w:noProof/>
          <w:sz w:val="18"/>
          <w:szCs w:val="18"/>
          <w:lang w:val="es-ES" w:eastAsia="ca-ES"/>
        </w:rPr>
        <w:drawing>
          <wp:inline distT="0" distB="0" distL="0" distR="0">
            <wp:extent cx="2254250" cy="1587500"/>
            <wp:effectExtent l="19050" t="0" r="0" b="0"/>
            <wp:docPr id="8" name="Objeto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760640" cy="3687723"/>
                      <a:chOff x="1781014" y="2170169"/>
                      <a:chExt cx="5760640" cy="3687723"/>
                    </a:xfrm>
                  </a:grpSpPr>
                  <a:grpSp>
                    <a:nvGrpSpPr>
                      <a:cNvPr id="13" name="12 Grupo"/>
                      <a:cNvGrpSpPr/>
                    </a:nvGrpSpPr>
                    <a:grpSpPr>
                      <a:xfrm>
                        <a:off x="1781014" y="2170169"/>
                        <a:ext cx="5760640" cy="3687723"/>
                        <a:chOff x="1781014" y="2170169"/>
                        <a:chExt cx="5760640" cy="3687723"/>
                      </a:xfrm>
                    </a:grpSpPr>
                    <a:grpSp>
                      <a:nvGrpSpPr>
                        <a:cNvPr id="3" name="3 Grupo"/>
                        <a:cNvGrpSpPr/>
                      </a:nvGrpSpPr>
                      <a:grpSpPr>
                        <a:xfrm>
                          <a:off x="1781014" y="2170169"/>
                          <a:ext cx="5760640" cy="3687723"/>
                          <a:chOff x="2165738" y="2348880"/>
                          <a:chExt cx="5760640" cy="3687723"/>
                        </a:xfrm>
                      </a:grpSpPr>
                      <a:graphicFrame>
                        <a:nvGraphicFramePr>
                          <a:cNvPr id="5" name="2 Gráfico"/>
                          <a:cNvGraphicFramePr/>
                        </a:nvGraphicFramePr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  <a:xfrm>
                          <a:off x="2165738" y="2348880"/>
                          <a:ext cx="5760640" cy="3526929"/>
                        </a:xfrm>
                      </a:graphicFrame>
                      <a:sp>
                        <a:nvSpPr>
                          <a:cNvPr id="6" name="5 CuadroTexto"/>
                          <a:cNvSpPr txBox="1"/>
                        </a:nvSpPr>
                        <a:spPr>
                          <a:xfrm>
                            <a:off x="2504728" y="4947115"/>
                            <a:ext cx="5421650" cy="108948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a:spPr>
                        <a:txSp>
                          <a:txBody>
                            <a:bodyPr wrap="square" rtlCol="0">
                              <a:noAutofit/>
                            </a:bodyPr>
                            <a:lstStyle>
                              <a:defPPr>
                                <a:defRPr lang="es-ES_tradnl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  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   H  D          H   D               H    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D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             H   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D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          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H    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D</a:t>
                              </a:r>
                              <a:endParaRPr lang="ca-ES" sz="1800" dirty="0" smtClean="0">
                                <a:solidFill>
                                  <a:srgbClr val="000099"/>
                                </a:solidFill>
                                <a:latin typeface="Calibri" pitchFamily="34" charset="0"/>
                                <a:cs typeface="Calibri" pitchFamily="34" charset="0"/>
                              </a:endParaRPr>
                            </a:p>
                            <a:p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  </a:t>
                              </a:r>
                              <a:r>
                                <a:rPr lang="ca-ES" sz="1800" dirty="0" err="1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Antipsic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     </a:t>
                              </a:r>
                              <a:r>
                                <a:rPr lang="ca-ES" sz="1800" dirty="0" err="1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Antidepr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       </a:t>
                              </a:r>
                              <a:r>
                                <a:rPr lang="ca-ES" sz="1800" dirty="0" err="1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Hipnòt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.     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Demència</a:t>
                              </a:r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   Qualsevol</a:t>
                              </a:r>
                              <a:endParaRPr lang="ca-ES" sz="1800" dirty="0" smtClean="0">
                                <a:solidFill>
                                  <a:srgbClr val="000099"/>
                                </a:solidFill>
                                <a:latin typeface="Calibri" pitchFamily="34" charset="0"/>
                                <a:cs typeface="Calibri" pitchFamily="34" charset="0"/>
                              </a:endParaRPr>
                            </a:p>
                            <a:p>
                              <a:r>
                                <a:rPr lang="ca-ES" sz="1800" dirty="0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 </a:t>
                              </a:r>
                              <a:endParaRPr lang="ca-ES" sz="1800" dirty="0">
                                <a:solidFill>
                                  <a:srgbClr val="000099"/>
                                </a:solidFill>
                                <a:latin typeface="Calibri" pitchFamily="34" charset="0"/>
                                <a:cs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grpSp>
                      <a:nvGrpSpPr>
                        <a:cNvPr id="4" name="18 Grupo"/>
                        <a:cNvGrpSpPr/>
                      </a:nvGrpSpPr>
                      <a:grpSpPr>
                        <a:xfrm>
                          <a:off x="4143372" y="2404033"/>
                          <a:ext cx="1311323" cy="667777"/>
                          <a:chOff x="174403" y="3698448"/>
                          <a:chExt cx="1311323" cy="667777"/>
                        </a:xfrm>
                        <a:solidFill>
                          <a:schemeClr val="bg1"/>
                        </a:solidFill>
                      </a:grpSpPr>
                      <a:sp>
                        <a:nvSpPr>
                          <a:cNvPr id="9" name="8 Rectángulo"/>
                          <a:cNvSpPr/>
                        </a:nvSpPr>
                        <a:spPr>
                          <a:xfrm>
                            <a:off x="174403" y="3819818"/>
                            <a:ext cx="144016" cy="150404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_tradnl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 sz="16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0" name="9 Rectángulo"/>
                          <a:cNvSpPr/>
                        </a:nvSpPr>
                        <a:spPr>
                          <a:xfrm>
                            <a:off x="174403" y="4133400"/>
                            <a:ext cx="144016" cy="150404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es-ES_tradnl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es-ES" sz="160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10 CuadroTexto"/>
                          <a:cNvSpPr txBox="1"/>
                        </a:nvSpPr>
                        <a:spPr>
                          <a:xfrm>
                            <a:off x="318419" y="3698448"/>
                            <a:ext cx="1053494" cy="338554"/>
                          </a:xfrm>
                          <a:prstGeom prst="rect">
                            <a:avLst/>
                          </a:prstGeom>
                          <a:grp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s-ES_tradnl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1600" dirty="0" err="1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Comunitat</a:t>
                              </a:r>
                              <a:endParaRPr lang="es-ES" sz="1600" dirty="0">
                                <a:solidFill>
                                  <a:srgbClr val="000099"/>
                                </a:solidFill>
                                <a:latin typeface="Calibri" pitchFamily="34" charset="0"/>
                                <a:cs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2" name="11 CuadroTexto"/>
                          <a:cNvSpPr txBox="1"/>
                        </a:nvSpPr>
                        <a:spPr>
                          <a:xfrm>
                            <a:off x="318419" y="4027671"/>
                            <a:ext cx="1167307" cy="338554"/>
                          </a:xfrm>
                          <a:prstGeom prst="rect">
                            <a:avLst/>
                          </a:prstGeom>
                          <a:grpFill/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es-ES_tradnl"/>
                              </a:defPPr>
                              <a:lvl1pPr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l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s-ES" sz="1600" dirty="0" err="1" smtClean="0">
                                  <a:solidFill>
                                    <a:srgbClr val="000099"/>
                                  </a:solidFill>
                                  <a:latin typeface="Calibri" pitchFamily="34" charset="0"/>
                                  <a:cs typeface="Calibri" pitchFamily="34" charset="0"/>
                                </a:rPr>
                                <a:t>Residències</a:t>
                              </a:r>
                              <a:endParaRPr lang="es-ES" sz="1600" dirty="0">
                                <a:solidFill>
                                  <a:srgbClr val="000099"/>
                                </a:solidFill>
                                <a:latin typeface="Calibri" pitchFamily="34" charset="0"/>
                                <a:cs typeface="Calibri" pitchFamily="34" charset="0"/>
                              </a:endParaRPr>
                            </a:p>
                          </a:txBody>
                          <a:useSpRect/>
                        </a:txSp>
                      </a:sp>
                    </a:grpSp>
                  </a:grpSp>
                </lc:lockedCanvas>
              </a:graphicData>
            </a:graphic>
          </wp:inline>
        </w:drawing>
      </w:r>
    </w:p>
    <w:p w:rsidR="00ED46C8" w:rsidRPr="00AF274C" w:rsidRDefault="00581206" w:rsidP="002E43FA">
      <w:pPr>
        <w:ind w:left="284"/>
        <w:rPr>
          <w:rFonts w:cs="Tahoma"/>
          <w:sz w:val="18"/>
          <w:szCs w:val="18"/>
          <w:lang w:val="es-ES"/>
        </w:rPr>
      </w:pPr>
      <w:r>
        <w:rPr>
          <w:sz w:val="16"/>
          <w:szCs w:val="16"/>
          <w:lang w:val="es-ES"/>
        </w:rPr>
        <w:t>Figura 2. De tod</w:t>
      </w:r>
      <w:r w:rsidR="00ED46C8" w:rsidRPr="00AF274C">
        <w:rPr>
          <w:sz w:val="16"/>
          <w:szCs w:val="16"/>
          <w:lang w:val="es-ES"/>
        </w:rPr>
        <w:t>a la població</w:t>
      </w:r>
      <w:r>
        <w:rPr>
          <w:sz w:val="16"/>
          <w:szCs w:val="16"/>
          <w:lang w:val="es-ES"/>
        </w:rPr>
        <w:t>n catalana, porcentaj</w:t>
      </w:r>
      <w:r w:rsidR="00ED46C8" w:rsidRPr="00AF274C">
        <w:rPr>
          <w:sz w:val="16"/>
          <w:szCs w:val="16"/>
          <w:lang w:val="es-ES"/>
        </w:rPr>
        <w:t>es de</w:t>
      </w:r>
      <w:r>
        <w:rPr>
          <w:sz w:val="16"/>
          <w:szCs w:val="16"/>
          <w:lang w:val="es-ES"/>
        </w:rPr>
        <w:t xml:space="preserve"> </w:t>
      </w:r>
      <w:r w:rsidR="00ED46C8" w:rsidRPr="00AF274C">
        <w:rPr>
          <w:sz w:val="16"/>
          <w:szCs w:val="16"/>
          <w:lang w:val="es-ES"/>
        </w:rPr>
        <w:t>l</w:t>
      </w:r>
      <w:r>
        <w:rPr>
          <w:sz w:val="16"/>
          <w:szCs w:val="16"/>
          <w:lang w:val="es-ES"/>
        </w:rPr>
        <w:t>o</w:t>
      </w:r>
      <w:r w:rsidR="00ED46C8" w:rsidRPr="00AF274C">
        <w:rPr>
          <w:sz w:val="16"/>
          <w:szCs w:val="16"/>
          <w:lang w:val="es-ES"/>
        </w:rPr>
        <w:t xml:space="preserve">s </w:t>
      </w:r>
      <w:r w:rsidR="00FA2E86">
        <w:rPr>
          <w:sz w:val="16"/>
          <w:szCs w:val="16"/>
          <w:lang w:val="es-ES"/>
        </w:rPr>
        <w:t>mayores de</w:t>
      </w:r>
      <w:r>
        <w:rPr>
          <w:sz w:val="16"/>
          <w:szCs w:val="16"/>
          <w:lang w:val="es-ES"/>
        </w:rPr>
        <w:t xml:space="preserve"> 70 años que recibieron algún psicofá</w:t>
      </w:r>
      <w:r w:rsidR="00ED46C8" w:rsidRPr="00AF274C">
        <w:rPr>
          <w:sz w:val="16"/>
          <w:szCs w:val="16"/>
          <w:lang w:val="es-ES"/>
        </w:rPr>
        <w:t>rmac</w:t>
      </w:r>
      <w:r>
        <w:rPr>
          <w:sz w:val="16"/>
          <w:szCs w:val="16"/>
          <w:lang w:val="es-ES"/>
        </w:rPr>
        <w:t>o en</w:t>
      </w:r>
      <w:r w:rsidR="00ED46C8" w:rsidRPr="00AF274C">
        <w:rPr>
          <w:sz w:val="16"/>
          <w:szCs w:val="16"/>
          <w:lang w:val="es-ES"/>
        </w:rPr>
        <w:t xml:space="preserve"> </w:t>
      </w:r>
      <w:r w:rsidR="00AF274C">
        <w:rPr>
          <w:sz w:val="16"/>
          <w:szCs w:val="16"/>
          <w:lang w:val="es-ES"/>
        </w:rPr>
        <w:t>Cataluña</w:t>
      </w:r>
      <w:r>
        <w:rPr>
          <w:sz w:val="16"/>
          <w:szCs w:val="16"/>
          <w:lang w:val="es-ES"/>
        </w:rPr>
        <w:t xml:space="preserve"> en 2015, en residencies y en</w:t>
      </w:r>
      <w:r w:rsidR="00ED46C8" w:rsidRPr="00AF274C">
        <w:rPr>
          <w:sz w:val="16"/>
          <w:szCs w:val="16"/>
          <w:lang w:val="es-ES"/>
        </w:rPr>
        <w:t xml:space="preserve"> la</w:t>
      </w:r>
      <w:r>
        <w:rPr>
          <w:sz w:val="16"/>
          <w:szCs w:val="16"/>
          <w:lang w:val="es-ES"/>
        </w:rPr>
        <w:t xml:space="preserve"> comunidad</w:t>
      </w:r>
      <w:r w:rsidR="00250862" w:rsidRPr="00AF274C">
        <w:rPr>
          <w:sz w:val="16"/>
          <w:szCs w:val="16"/>
          <w:lang w:val="es-ES"/>
        </w:rPr>
        <w:t xml:space="preserve"> (H, hom</w:t>
      </w:r>
      <w:r>
        <w:rPr>
          <w:sz w:val="16"/>
          <w:szCs w:val="16"/>
          <w:lang w:val="es-ES"/>
        </w:rPr>
        <w:t>bres; D, mujeres) (con dato</w:t>
      </w:r>
      <w:r w:rsidR="00250862" w:rsidRPr="00AF274C">
        <w:rPr>
          <w:sz w:val="16"/>
          <w:szCs w:val="16"/>
          <w:lang w:val="es-ES"/>
        </w:rPr>
        <w:t>s de CatSalut).</w:t>
      </w:r>
      <w:r w:rsidR="00ED46C8" w:rsidRPr="00AF274C">
        <w:rPr>
          <w:rStyle w:val="Refdenotaalfinal"/>
          <w:rFonts w:cs="Tahoma"/>
          <w:sz w:val="16"/>
          <w:szCs w:val="16"/>
          <w:lang w:val="es-ES"/>
        </w:rPr>
        <w:endnoteReference w:id="39"/>
      </w:r>
    </w:p>
    <w:p w:rsidR="00250862" w:rsidRDefault="00250862" w:rsidP="00F32746">
      <w:pPr>
        <w:rPr>
          <w:sz w:val="20"/>
          <w:szCs w:val="20"/>
          <w:lang w:val="es-ES"/>
        </w:rPr>
      </w:pPr>
    </w:p>
    <w:p w:rsidR="00B73742" w:rsidRDefault="00B73742" w:rsidP="00F32746">
      <w:pPr>
        <w:rPr>
          <w:sz w:val="20"/>
          <w:szCs w:val="20"/>
          <w:lang w:val="es-ES"/>
        </w:rPr>
      </w:pPr>
    </w:p>
    <w:p w:rsidR="00B73742" w:rsidRDefault="00B73742" w:rsidP="00B73742">
      <w:pPr>
        <w:rPr>
          <w:sz w:val="20"/>
          <w:szCs w:val="20"/>
          <w:lang w:val="es-ES"/>
        </w:rPr>
      </w:pPr>
      <w:r w:rsidRPr="00B73742">
        <w:rPr>
          <w:b/>
          <w:sz w:val="20"/>
          <w:szCs w:val="20"/>
          <w:lang w:val="es-ES"/>
        </w:rPr>
        <w:t>F</w:t>
      </w:r>
      <w:r>
        <w:rPr>
          <w:b/>
          <w:sz w:val="20"/>
          <w:szCs w:val="20"/>
          <w:lang w:val="es-ES"/>
        </w:rPr>
        <w:t>ármacos oncoló</w:t>
      </w:r>
      <w:r w:rsidRPr="00AF274C">
        <w:rPr>
          <w:b/>
          <w:sz w:val="20"/>
          <w:szCs w:val="20"/>
          <w:lang w:val="es-ES"/>
        </w:rPr>
        <w:t>gic</w:t>
      </w:r>
      <w:r>
        <w:rPr>
          <w:b/>
          <w:sz w:val="20"/>
          <w:szCs w:val="20"/>
          <w:lang w:val="es-ES"/>
        </w:rPr>
        <w:t>o</w:t>
      </w:r>
      <w:r w:rsidRPr="00AF274C">
        <w:rPr>
          <w:b/>
          <w:sz w:val="20"/>
          <w:szCs w:val="20"/>
          <w:lang w:val="es-ES"/>
        </w:rPr>
        <w:t>s</w:t>
      </w:r>
      <w:r>
        <w:rPr>
          <w:b/>
          <w:sz w:val="20"/>
          <w:szCs w:val="20"/>
          <w:lang w:val="es-ES"/>
        </w:rPr>
        <w:t xml:space="preserve"> e</w:t>
      </w:r>
      <w:r w:rsidRPr="00AF274C">
        <w:rPr>
          <w:b/>
          <w:sz w:val="20"/>
          <w:szCs w:val="20"/>
          <w:lang w:val="es-ES"/>
        </w:rPr>
        <w:t xml:space="preserve"> </w:t>
      </w:r>
      <w:r>
        <w:rPr>
          <w:b/>
          <w:sz w:val="20"/>
          <w:szCs w:val="20"/>
          <w:lang w:val="es-ES"/>
        </w:rPr>
        <w:t>inmunosupres</w:t>
      </w:r>
      <w:r w:rsidRPr="00AF274C">
        <w:rPr>
          <w:b/>
          <w:sz w:val="20"/>
          <w:szCs w:val="20"/>
          <w:lang w:val="es-ES"/>
        </w:rPr>
        <w:t>or</w:t>
      </w:r>
      <w:r>
        <w:rPr>
          <w:b/>
          <w:sz w:val="20"/>
          <w:szCs w:val="20"/>
          <w:lang w:val="es-ES"/>
        </w:rPr>
        <w:t>e</w:t>
      </w:r>
      <w:r w:rsidRPr="00AF274C">
        <w:rPr>
          <w:b/>
          <w:sz w:val="20"/>
          <w:szCs w:val="20"/>
          <w:lang w:val="es-ES"/>
        </w:rPr>
        <w:t>s</w:t>
      </w:r>
    </w:p>
    <w:p w:rsidR="00B73742" w:rsidRDefault="00B73742" w:rsidP="00B73742">
      <w:pPr>
        <w:rPr>
          <w:sz w:val="20"/>
          <w:szCs w:val="20"/>
          <w:lang w:val="es-ES"/>
        </w:rPr>
      </w:pPr>
    </w:p>
    <w:p w:rsidR="00B73742" w:rsidRPr="00AF274C" w:rsidRDefault="00B73742" w:rsidP="00B73742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Inhiben la inmunidad. Lo</w:t>
      </w:r>
      <w:r w:rsidRPr="00AF274C">
        <w:rPr>
          <w:sz w:val="20"/>
          <w:szCs w:val="20"/>
          <w:lang w:val="es-ES"/>
        </w:rPr>
        <w:t>s pacient</w:t>
      </w:r>
      <w:r>
        <w:rPr>
          <w:sz w:val="20"/>
          <w:szCs w:val="20"/>
          <w:lang w:val="es-ES"/>
        </w:rPr>
        <w:t>es que los toman son más</w:t>
      </w:r>
      <w:r w:rsidRPr="00AF274C">
        <w:rPr>
          <w:sz w:val="20"/>
          <w:szCs w:val="20"/>
          <w:lang w:val="es-ES"/>
        </w:rPr>
        <w:t xml:space="preserve"> susceptibles</w:t>
      </w:r>
      <w:r>
        <w:rPr>
          <w:sz w:val="20"/>
          <w:szCs w:val="20"/>
          <w:lang w:val="es-ES"/>
        </w:rPr>
        <w:t xml:space="preserve"> a la</w:t>
      </w:r>
      <w:r w:rsidRPr="00AF274C">
        <w:rPr>
          <w:sz w:val="20"/>
          <w:szCs w:val="20"/>
          <w:lang w:val="es-ES"/>
        </w:rPr>
        <w:t>s infeccion</w:t>
      </w:r>
      <w:r>
        <w:rPr>
          <w:sz w:val="20"/>
          <w:szCs w:val="20"/>
          <w:lang w:val="es-ES"/>
        </w:rPr>
        <w:t>es, víricas y no vírica</w:t>
      </w:r>
      <w:r w:rsidRPr="00AF274C">
        <w:rPr>
          <w:sz w:val="20"/>
          <w:szCs w:val="20"/>
          <w:lang w:val="es-ES"/>
        </w:rPr>
        <w:t>s.</w:t>
      </w:r>
    </w:p>
    <w:p w:rsidR="00B73742" w:rsidRPr="00AF274C" w:rsidRDefault="00B73742" w:rsidP="00B73742">
      <w:pPr>
        <w:rPr>
          <w:sz w:val="20"/>
          <w:szCs w:val="20"/>
          <w:lang w:val="es-ES"/>
        </w:rPr>
      </w:pPr>
    </w:p>
    <w:p w:rsidR="00B73742" w:rsidRPr="00AF274C" w:rsidRDefault="00B73742" w:rsidP="00B73742">
      <w:pPr>
        <w:pStyle w:val="Prrafodelista"/>
        <w:numPr>
          <w:ilvl w:val="0"/>
          <w:numId w:val="3"/>
        </w:numPr>
        <w:ind w:left="567" w:hanging="283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</w:t>
      </w:r>
      <w:r w:rsidRPr="00AF274C">
        <w:rPr>
          <w:sz w:val="18"/>
          <w:szCs w:val="18"/>
          <w:lang w:val="es-ES"/>
        </w:rPr>
        <w:t xml:space="preserve"> pacient</w:t>
      </w:r>
      <w:r>
        <w:rPr>
          <w:sz w:val="18"/>
          <w:szCs w:val="18"/>
          <w:lang w:val="es-ES"/>
        </w:rPr>
        <w:t>e</w:t>
      </w:r>
      <w:r w:rsidRPr="00AF274C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>tratados con</w:t>
      </w:r>
      <w:r w:rsidRPr="00AF274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estos</w:t>
      </w:r>
      <w:r w:rsidRPr="00AF274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fármacos</w:t>
      </w:r>
      <w:r w:rsidRPr="00AF274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generalmente no deben abandonar</w:t>
      </w:r>
      <w:r w:rsidRPr="00AF274C">
        <w:rPr>
          <w:sz w:val="18"/>
          <w:szCs w:val="18"/>
          <w:lang w:val="es-ES"/>
        </w:rPr>
        <w:t xml:space="preserve"> el </w:t>
      </w:r>
      <w:r>
        <w:rPr>
          <w:sz w:val="18"/>
          <w:szCs w:val="18"/>
          <w:lang w:val="es-ES"/>
        </w:rPr>
        <w:t>tratamiento</w:t>
      </w:r>
      <w:r w:rsidRPr="00AF274C">
        <w:rPr>
          <w:sz w:val="18"/>
          <w:szCs w:val="18"/>
          <w:lang w:val="es-ES"/>
        </w:rPr>
        <w:t xml:space="preserve">. </w:t>
      </w:r>
      <w:r>
        <w:rPr>
          <w:sz w:val="18"/>
          <w:szCs w:val="18"/>
          <w:lang w:val="es-ES"/>
        </w:rPr>
        <w:t>De todas</w:t>
      </w:r>
      <w:r w:rsidRPr="00AF274C">
        <w:rPr>
          <w:sz w:val="18"/>
          <w:szCs w:val="18"/>
          <w:lang w:val="es-ES"/>
        </w:rPr>
        <w:t xml:space="preserve"> manera</w:t>
      </w:r>
      <w:r>
        <w:rPr>
          <w:sz w:val="18"/>
          <w:szCs w:val="18"/>
          <w:lang w:val="es-ES"/>
        </w:rPr>
        <w:t>s</w:t>
      </w:r>
      <w:r w:rsidRPr="00AF274C">
        <w:rPr>
          <w:sz w:val="18"/>
          <w:szCs w:val="18"/>
          <w:lang w:val="es-ES"/>
        </w:rPr>
        <w:t xml:space="preserve">, </w:t>
      </w:r>
      <w:r>
        <w:rPr>
          <w:sz w:val="18"/>
          <w:szCs w:val="18"/>
          <w:lang w:val="es-ES"/>
        </w:rPr>
        <w:t>se debe tener en cuenta</w:t>
      </w:r>
      <w:r w:rsidRPr="00AF274C">
        <w:rPr>
          <w:sz w:val="18"/>
          <w:szCs w:val="18"/>
          <w:lang w:val="es-ES"/>
        </w:rPr>
        <w:t xml:space="preserve"> que un </w:t>
      </w:r>
      <w:r>
        <w:rPr>
          <w:sz w:val="18"/>
          <w:szCs w:val="18"/>
          <w:lang w:val="es-ES"/>
        </w:rPr>
        <w:t>número</w:t>
      </w:r>
      <w:r w:rsidRPr="00AF274C">
        <w:rPr>
          <w:sz w:val="18"/>
          <w:szCs w:val="18"/>
          <w:lang w:val="es-ES"/>
        </w:rPr>
        <w:t xml:space="preserve"> important</w:t>
      </w:r>
      <w:r>
        <w:rPr>
          <w:sz w:val="18"/>
          <w:szCs w:val="18"/>
          <w:lang w:val="es-ES"/>
        </w:rPr>
        <w:t>e</w:t>
      </w:r>
      <w:r w:rsidRPr="00AF274C">
        <w:rPr>
          <w:sz w:val="18"/>
          <w:szCs w:val="18"/>
          <w:lang w:val="es-ES"/>
        </w:rPr>
        <w:t xml:space="preserve"> de pacient</w:t>
      </w:r>
      <w:r>
        <w:rPr>
          <w:sz w:val="18"/>
          <w:szCs w:val="18"/>
          <w:lang w:val="es-ES"/>
        </w:rPr>
        <w:t>es con</w:t>
      </w:r>
      <w:r w:rsidRPr="00AF274C">
        <w:rPr>
          <w:sz w:val="18"/>
          <w:szCs w:val="18"/>
          <w:lang w:val="es-ES"/>
        </w:rPr>
        <w:t xml:space="preserve"> </w:t>
      </w:r>
      <w:r>
        <w:rPr>
          <w:b/>
          <w:sz w:val="18"/>
          <w:szCs w:val="18"/>
          <w:lang w:val="es-ES"/>
        </w:rPr>
        <w:t>cá</w:t>
      </w:r>
      <w:r w:rsidRPr="00AF274C">
        <w:rPr>
          <w:b/>
          <w:sz w:val="18"/>
          <w:szCs w:val="18"/>
          <w:lang w:val="es-ES"/>
        </w:rPr>
        <w:t>ncer</w:t>
      </w:r>
      <w:r>
        <w:rPr>
          <w:sz w:val="18"/>
          <w:szCs w:val="18"/>
          <w:lang w:val="es-ES"/>
        </w:rPr>
        <w:t xml:space="preserve"> terminal todavía recibe quimioterá</w:t>
      </w:r>
      <w:r w:rsidRPr="00AF274C">
        <w:rPr>
          <w:sz w:val="18"/>
          <w:szCs w:val="18"/>
          <w:lang w:val="es-ES"/>
        </w:rPr>
        <w:t>pic</w:t>
      </w:r>
      <w:r>
        <w:rPr>
          <w:sz w:val="18"/>
          <w:szCs w:val="18"/>
          <w:lang w:val="es-ES"/>
        </w:rPr>
        <w:t>os antineoplás</w:t>
      </w:r>
      <w:r w:rsidRPr="00AF274C">
        <w:rPr>
          <w:sz w:val="18"/>
          <w:szCs w:val="18"/>
          <w:lang w:val="es-ES"/>
        </w:rPr>
        <w:t>ic</w:t>
      </w:r>
      <w:r>
        <w:rPr>
          <w:sz w:val="18"/>
          <w:szCs w:val="18"/>
          <w:lang w:val="es-ES"/>
        </w:rPr>
        <w:t>o</w:t>
      </w:r>
      <w:r w:rsidRPr="00AF274C">
        <w:rPr>
          <w:sz w:val="18"/>
          <w:szCs w:val="18"/>
          <w:lang w:val="es-ES"/>
        </w:rPr>
        <w:t xml:space="preserve">s, en una fase de la </w:t>
      </w:r>
      <w:r>
        <w:rPr>
          <w:sz w:val="18"/>
          <w:szCs w:val="18"/>
          <w:lang w:val="es-ES"/>
        </w:rPr>
        <w:t>enfermedad</w:t>
      </w:r>
      <w:r w:rsidRPr="00AF274C">
        <w:rPr>
          <w:sz w:val="18"/>
          <w:szCs w:val="18"/>
          <w:lang w:val="es-ES"/>
        </w:rPr>
        <w:t xml:space="preserve"> en la </w:t>
      </w:r>
      <w:r>
        <w:rPr>
          <w:sz w:val="18"/>
          <w:szCs w:val="18"/>
          <w:lang w:val="es-ES"/>
        </w:rPr>
        <w:t>que ya no pueden tene</w:t>
      </w:r>
      <w:r w:rsidRPr="00AF274C">
        <w:rPr>
          <w:sz w:val="18"/>
          <w:szCs w:val="18"/>
          <w:lang w:val="es-ES"/>
        </w:rPr>
        <w:t>r un efec</w:t>
      </w:r>
      <w:r>
        <w:rPr>
          <w:sz w:val="18"/>
          <w:szCs w:val="18"/>
          <w:lang w:val="es-ES"/>
        </w:rPr>
        <w:t>to beneficio</w:t>
      </w:r>
      <w:r w:rsidRPr="00AF274C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>o, y sí muchos efecto</w:t>
      </w:r>
      <w:r w:rsidRPr="00AF274C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>innecesarios</w:t>
      </w:r>
      <w:r w:rsidRPr="00AF274C">
        <w:rPr>
          <w:sz w:val="18"/>
          <w:szCs w:val="18"/>
          <w:lang w:val="es-ES"/>
        </w:rPr>
        <w:t xml:space="preserve"> (entre ell</w:t>
      </w:r>
      <w:r>
        <w:rPr>
          <w:sz w:val="18"/>
          <w:szCs w:val="18"/>
          <w:lang w:val="es-ES"/>
        </w:rPr>
        <w:t>o</w:t>
      </w:r>
      <w:r w:rsidRPr="00AF274C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>neumonía</w:t>
      </w:r>
      <w:r w:rsidRPr="00AF274C">
        <w:rPr>
          <w:sz w:val="18"/>
          <w:szCs w:val="18"/>
          <w:lang w:val="es-ES"/>
        </w:rPr>
        <w:t>).</w:t>
      </w:r>
    </w:p>
    <w:p w:rsidR="00B73742" w:rsidRPr="00AF274C" w:rsidRDefault="00B73742" w:rsidP="00B73742">
      <w:pPr>
        <w:ind w:left="567" w:hanging="283"/>
        <w:rPr>
          <w:sz w:val="18"/>
          <w:szCs w:val="18"/>
          <w:lang w:val="es-ES"/>
        </w:rPr>
      </w:pPr>
    </w:p>
    <w:p w:rsidR="00B73742" w:rsidRPr="00AF274C" w:rsidRDefault="00B73742" w:rsidP="00B73742">
      <w:pPr>
        <w:pStyle w:val="Prrafodelista"/>
        <w:numPr>
          <w:ilvl w:val="0"/>
          <w:numId w:val="3"/>
        </w:numPr>
        <w:ind w:left="567" w:hanging="283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Por otra parte, muchas persona</w:t>
      </w:r>
      <w:r w:rsidRPr="00AF274C">
        <w:rPr>
          <w:sz w:val="18"/>
          <w:szCs w:val="18"/>
          <w:lang w:val="es-ES"/>
        </w:rPr>
        <w:t>s re</w:t>
      </w:r>
      <w:r>
        <w:rPr>
          <w:sz w:val="18"/>
          <w:szCs w:val="18"/>
          <w:lang w:val="es-ES"/>
        </w:rPr>
        <w:t>ci</w:t>
      </w:r>
      <w:r w:rsidRPr="00AF274C">
        <w:rPr>
          <w:sz w:val="18"/>
          <w:szCs w:val="18"/>
          <w:lang w:val="es-ES"/>
        </w:rPr>
        <w:t xml:space="preserve">ben </w:t>
      </w:r>
      <w:r>
        <w:rPr>
          <w:sz w:val="18"/>
          <w:szCs w:val="18"/>
          <w:lang w:val="es-ES"/>
        </w:rPr>
        <w:t>fármacos inmunosupre</w:t>
      </w:r>
      <w:r w:rsidRPr="00AF274C">
        <w:rPr>
          <w:sz w:val="18"/>
          <w:szCs w:val="18"/>
          <w:lang w:val="es-ES"/>
        </w:rPr>
        <w:t>sor</w:t>
      </w:r>
      <w:r>
        <w:rPr>
          <w:sz w:val="18"/>
          <w:szCs w:val="18"/>
          <w:lang w:val="es-ES"/>
        </w:rPr>
        <w:t>es par</w:t>
      </w:r>
      <w:r w:rsidRPr="00AF274C">
        <w:rPr>
          <w:sz w:val="18"/>
          <w:szCs w:val="18"/>
          <w:lang w:val="es-ES"/>
        </w:rPr>
        <w:t>a afeccion</w:t>
      </w:r>
      <w:r>
        <w:rPr>
          <w:sz w:val="18"/>
          <w:szCs w:val="18"/>
          <w:lang w:val="es-ES"/>
        </w:rPr>
        <w:t>e</w:t>
      </w:r>
      <w:r w:rsidRPr="00AF274C">
        <w:rPr>
          <w:sz w:val="18"/>
          <w:szCs w:val="18"/>
          <w:lang w:val="es-ES"/>
        </w:rPr>
        <w:t xml:space="preserve">s </w:t>
      </w:r>
      <w:r>
        <w:rPr>
          <w:sz w:val="18"/>
          <w:szCs w:val="18"/>
          <w:lang w:val="es-ES"/>
        </w:rPr>
        <w:t>que no llega</w:t>
      </w:r>
      <w:r w:rsidRPr="00AF274C">
        <w:rPr>
          <w:sz w:val="18"/>
          <w:szCs w:val="18"/>
          <w:lang w:val="es-ES"/>
        </w:rPr>
        <w:t>n a ser</w:t>
      </w:r>
      <w:r>
        <w:rPr>
          <w:sz w:val="18"/>
          <w:szCs w:val="18"/>
          <w:lang w:val="es-ES"/>
        </w:rPr>
        <w:t xml:space="preserve"> tan graves como para justificar su uso</w:t>
      </w:r>
      <w:r w:rsidRPr="00AF274C">
        <w:rPr>
          <w:sz w:val="18"/>
          <w:szCs w:val="18"/>
          <w:lang w:val="es-ES"/>
        </w:rPr>
        <w:t>.</w:t>
      </w:r>
      <w:r>
        <w:rPr>
          <w:sz w:val="18"/>
          <w:szCs w:val="18"/>
          <w:lang w:val="es-ES"/>
        </w:rPr>
        <w:t xml:space="preserve"> Por ejemplo</w:t>
      </w:r>
      <w:r w:rsidRPr="00AF274C">
        <w:rPr>
          <w:sz w:val="18"/>
          <w:szCs w:val="18"/>
          <w:lang w:val="es-ES"/>
        </w:rPr>
        <w:t>, pacient</w:t>
      </w:r>
      <w:r>
        <w:rPr>
          <w:sz w:val="18"/>
          <w:szCs w:val="18"/>
          <w:lang w:val="es-ES"/>
        </w:rPr>
        <w:t>es con</w:t>
      </w:r>
      <w:r w:rsidRPr="00AF274C">
        <w:rPr>
          <w:sz w:val="18"/>
          <w:szCs w:val="18"/>
          <w:lang w:val="es-ES"/>
        </w:rPr>
        <w:t xml:space="preserve"> </w:t>
      </w:r>
      <w:r w:rsidRPr="00AF274C">
        <w:rPr>
          <w:b/>
          <w:sz w:val="18"/>
          <w:szCs w:val="18"/>
          <w:lang w:val="es-ES"/>
        </w:rPr>
        <w:t>psoriasi</w:t>
      </w:r>
      <w:r>
        <w:rPr>
          <w:b/>
          <w:sz w:val="18"/>
          <w:szCs w:val="18"/>
          <w:lang w:val="es-ES"/>
        </w:rPr>
        <w:t>s</w:t>
      </w:r>
      <w:r w:rsidRPr="00AF274C">
        <w:rPr>
          <w:sz w:val="18"/>
          <w:szCs w:val="18"/>
          <w:lang w:val="es-ES"/>
        </w:rPr>
        <w:t xml:space="preserve">, </w:t>
      </w:r>
      <w:r>
        <w:rPr>
          <w:b/>
          <w:sz w:val="18"/>
          <w:szCs w:val="18"/>
          <w:lang w:val="es-ES"/>
        </w:rPr>
        <w:t>enfermedad inflamato</w:t>
      </w:r>
      <w:r w:rsidRPr="00AF274C">
        <w:rPr>
          <w:b/>
          <w:sz w:val="18"/>
          <w:szCs w:val="18"/>
          <w:lang w:val="es-ES"/>
        </w:rPr>
        <w:t>ria intestinal</w:t>
      </w:r>
      <w:r w:rsidRPr="00AF274C">
        <w:rPr>
          <w:sz w:val="18"/>
          <w:szCs w:val="18"/>
          <w:lang w:val="es-ES"/>
        </w:rPr>
        <w:t xml:space="preserve"> o </w:t>
      </w:r>
      <w:r w:rsidRPr="00AF274C">
        <w:rPr>
          <w:b/>
          <w:sz w:val="18"/>
          <w:szCs w:val="18"/>
          <w:lang w:val="es-ES"/>
        </w:rPr>
        <w:t>artritis</w:t>
      </w:r>
      <w:r>
        <w:rPr>
          <w:b/>
          <w:sz w:val="18"/>
          <w:szCs w:val="18"/>
          <w:lang w:val="es-ES"/>
        </w:rPr>
        <w:t xml:space="preserve"> reumá</w:t>
      </w:r>
      <w:r w:rsidRPr="00AF274C">
        <w:rPr>
          <w:b/>
          <w:sz w:val="18"/>
          <w:szCs w:val="18"/>
          <w:lang w:val="es-ES"/>
        </w:rPr>
        <w:t>tica</w:t>
      </w:r>
      <w:r>
        <w:rPr>
          <w:sz w:val="18"/>
          <w:szCs w:val="18"/>
          <w:lang w:val="es-ES"/>
        </w:rPr>
        <w:t xml:space="preserve"> leve</w:t>
      </w:r>
      <w:r w:rsidRPr="00AF274C">
        <w:rPr>
          <w:sz w:val="18"/>
          <w:szCs w:val="18"/>
          <w:lang w:val="es-ES"/>
        </w:rPr>
        <w:t xml:space="preserve"> o moderada re</w:t>
      </w:r>
      <w:r>
        <w:rPr>
          <w:sz w:val="18"/>
          <w:szCs w:val="18"/>
          <w:lang w:val="es-ES"/>
        </w:rPr>
        <w:t>ci</w:t>
      </w:r>
      <w:r w:rsidRPr="00AF274C">
        <w:rPr>
          <w:sz w:val="18"/>
          <w:szCs w:val="18"/>
          <w:lang w:val="es-ES"/>
        </w:rPr>
        <w:t xml:space="preserve">ben </w:t>
      </w:r>
      <w:r>
        <w:rPr>
          <w:sz w:val="18"/>
          <w:szCs w:val="18"/>
          <w:lang w:val="es-ES"/>
        </w:rPr>
        <w:t>estos</w:t>
      </w:r>
      <w:r w:rsidRPr="00AF274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fármacos sin que se hayan probado anteriormente los tratamientos de primera líne</w:t>
      </w:r>
      <w:r w:rsidRPr="00AF274C">
        <w:rPr>
          <w:sz w:val="18"/>
          <w:szCs w:val="18"/>
          <w:lang w:val="es-ES"/>
        </w:rPr>
        <w:t>a</w:t>
      </w:r>
      <w:r>
        <w:rPr>
          <w:sz w:val="18"/>
          <w:szCs w:val="18"/>
          <w:lang w:val="es-ES"/>
        </w:rPr>
        <w:t>, que deprimen menos la inmunidad, o sin que la enfermedad alcance tal gravedad que justifique su prescripción</w:t>
      </w:r>
      <w:r w:rsidRPr="00AF274C">
        <w:rPr>
          <w:sz w:val="18"/>
          <w:szCs w:val="18"/>
          <w:lang w:val="es-ES"/>
        </w:rPr>
        <w:t>.</w:t>
      </w:r>
    </w:p>
    <w:p w:rsidR="00B73742" w:rsidRPr="00AF274C" w:rsidRDefault="00B73742" w:rsidP="00B73742">
      <w:pPr>
        <w:ind w:left="567" w:hanging="283"/>
        <w:rPr>
          <w:sz w:val="18"/>
          <w:szCs w:val="18"/>
          <w:lang w:val="es-ES"/>
        </w:rPr>
      </w:pPr>
    </w:p>
    <w:p w:rsidR="00B73742" w:rsidRPr="00AF274C" w:rsidRDefault="00B73742" w:rsidP="00B73742">
      <w:pPr>
        <w:pStyle w:val="Prrafodelista"/>
        <w:numPr>
          <w:ilvl w:val="0"/>
          <w:numId w:val="3"/>
        </w:numPr>
        <w:ind w:left="567" w:hanging="283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Los</w:t>
      </w:r>
      <w:r w:rsidRPr="00AF274C">
        <w:rPr>
          <w:sz w:val="18"/>
          <w:szCs w:val="18"/>
          <w:lang w:val="es-ES"/>
        </w:rPr>
        <w:t xml:space="preserve"> </w:t>
      </w:r>
      <w:r w:rsidRPr="00AF274C">
        <w:rPr>
          <w:b/>
          <w:sz w:val="18"/>
          <w:szCs w:val="18"/>
          <w:lang w:val="es-ES"/>
        </w:rPr>
        <w:t>corticoides, tant</w:t>
      </w:r>
      <w:r>
        <w:rPr>
          <w:b/>
          <w:sz w:val="18"/>
          <w:szCs w:val="18"/>
          <w:lang w:val="es-ES"/>
        </w:rPr>
        <w:t>o por ví</w:t>
      </w:r>
      <w:r w:rsidRPr="00AF274C">
        <w:rPr>
          <w:b/>
          <w:sz w:val="18"/>
          <w:szCs w:val="18"/>
          <w:lang w:val="es-ES"/>
        </w:rPr>
        <w:t>a general com</w:t>
      </w:r>
      <w:r>
        <w:rPr>
          <w:b/>
          <w:sz w:val="18"/>
          <w:szCs w:val="18"/>
          <w:lang w:val="es-ES"/>
        </w:rPr>
        <w:t>o po</w:t>
      </w:r>
      <w:r w:rsidRPr="00AF274C">
        <w:rPr>
          <w:b/>
          <w:sz w:val="18"/>
          <w:szCs w:val="18"/>
          <w:lang w:val="es-ES"/>
        </w:rPr>
        <w:t>r</w:t>
      </w:r>
      <w:r>
        <w:rPr>
          <w:b/>
          <w:sz w:val="18"/>
          <w:szCs w:val="18"/>
          <w:lang w:val="es-ES"/>
        </w:rPr>
        <w:t xml:space="preserve"> vía inhalato</w:t>
      </w:r>
      <w:r w:rsidRPr="00AF274C">
        <w:rPr>
          <w:b/>
          <w:sz w:val="18"/>
          <w:szCs w:val="18"/>
          <w:lang w:val="es-ES"/>
        </w:rPr>
        <w:t>ria</w:t>
      </w:r>
      <w:r>
        <w:rPr>
          <w:sz w:val="18"/>
          <w:szCs w:val="18"/>
          <w:lang w:val="es-ES"/>
        </w:rPr>
        <w:t>, tienen efecto inmunosupresor e incrementa</w:t>
      </w:r>
      <w:r w:rsidRPr="00AF274C">
        <w:rPr>
          <w:sz w:val="18"/>
          <w:szCs w:val="18"/>
          <w:lang w:val="es-ES"/>
        </w:rPr>
        <w:t xml:space="preserve">n el </w:t>
      </w:r>
      <w:r>
        <w:rPr>
          <w:sz w:val="18"/>
          <w:szCs w:val="18"/>
          <w:lang w:val="es-ES"/>
        </w:rPr>
        <w:t>riesgo</w:t>
      </w:r>
      <w:r w:rsidRPr="00AF274C">
        <w:rPr>
          <w:sz w:val="18"/>
          <w:szCs w:val="18"/>
          <w:lang w:val="es-ES"/>
        </w:rPr>
        <w:t xml:space="preserve"> de </w:t>
      </w:r>
      <w:r>
        <w:rPr>
          <w:sz w:val="18"/>
          <w:szCs w:val="18"/>
          <w:lang w:val="es-ES"/>
        </w:rPr>
        <w:t>neumonía</w:t>
      </w:r>
      <w:r w:rsidRPr="00AF274C">
        <w:rPr>
          <w:sz w:val="18"/>
          <w:szCs w:val="18"/>
          <w:lang w:val="es-ES"/>
        </w:rPr>
        <w:t>, en pacient</w:t>
      </w:r>
      <w:r>
        <w:rPr>
          <w:sz w:val="18"/>
          <w:szCs w:val="18"/>
          <w:lang w:val="es-ES"/>
        </w:rPr>
        <w:t>es con asma y</w:t>
      </w:r>
      <w:r w:rsidRPr="00AF274C">
        <w:rPr>
          <w:sz w:val="18"/>
          <w:szCs w:val="18"/>
          <w:lang w:val="es-ES"/>
        </w:rPr>
        <w:t xml:space="preserve"> en pacient</w:t>
      </w:r>
      <w:r>
        <w:rPr>
          <w:sz w:val="18"/>
          <w:szCs w:val="18"/>
          <w:lang w:val="es-ES"/>
        </w:rPr>
        <w:t>es con E</w:t>
      </w:r>
      <w:r w:rsidRPr="00AF274C">
        <w:rPr>
          <w:sz w:val="18"/>
          <w:szCs w:val="18"/>
          <w:lang w:val="es-ES"/>
        </w:rPr>
        <w:t>POC.</w:t>
      </w:r>
      <w:r w:rsidRPr="00AF274C">
        <w:rPr>
          <w:rStyle w:val="Refdenotaalfinal"/>
          <w:sz w:val="18"/>
          <w:szCs w:val="18"/>
          <w:lang w:val="es-ES"/>
        </w:rPr>
        <w:t xml:space="preserve"> </w:t>
      </w:r>
      <w:r w:rsidRPr="00AF274C">
        <w:rPr>
          <w:rStyle w:val="Refdenotaalfinal"/>
          <w:sz w:val="18"/>
          <w:szCs w:val="18"/>
          <w:lang w:val="es-ES"/>
        </w:rPr>
        <w:endnoteReference w:id="40"/>
      </w:r>
      <w:r w:rsidRPr="00AF274C">
        <w:rPr>
          <w:sz w:val="18"/>
          <w:szCs w:val="18"/>
          <w:vertAlign w:val="superscript"/>
          <w:lang w:val="es-ES"/>
        </w:rPr>
        <w:t>,</w:t>
      </w:r>
      <w:r w:rsidRPr="00AF274C">
        <w:rPr>
          <w:rStyle w:val="Refdenotaalfinal"/>
          <w:sz w:val="18"/>
          <w:szCs w:val="18"/>
          <w:lang w:val="es-ES"/>
        </w:rPr>
        <w:endnoteReference w:id="41"/>
      </w:r>
      <w:r w:rsidRPr="00AF274C">
        <w:rPr>
          <w:sz w:val="18"/>
          <w:szCs w:val="18"/>
          <w:lang w:val="es-ES"/>
        </w:rPr>
        <w:t xml:space="preserve"> </w:t>
      </w:r>
    </w:p>
    <w:p w:rsidR="00B73742" w:rsidRPr="00AF274C" w:rsidRDefault="00B73742" w:rsidP="00B73742">
      <w:pPr>
        <w:ind w:left="567" w:hanging="283"/>
        <w:rPr>
          <w:sz w:val="18"/>
          <w:szCs w:val="18"/>
          <w:lang w:val="es-ES"/>
        </w:rPr>
      </w:pPr>
    </w:p>
    <w:p w:rsidR="00B73742" w:rsidRPr="00AF274C" w:rsidRDefault="00B73742" w:rsidP="00B73742">
      <w:pPr>
        <w:pStyle w:val="Prrafodelista"/>
        <w:numPr>
          <w:ilvl w:val="0"/>
          <w:numId w:val="6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La mayorí</w:t>
      </w:r>
      <w:r w:rsidRPr="00AF274C">
        <w:rPr>
          <w:sz w:val="18"/>
          <w:szCs w:val="18"/>
          <w:lang w:val="es-ES"/>
        </w:rPr>
        <w:t>a de</w:t>
      </w:r>
      <w:r>
        <w:rPr>
          <w:sz w:val="18"/>
          <w:szCs w:val="18"/>
          <w:lang w:val="es-ES"/>
        </w:rPr>
        <w:t xml:space="preserve"> </w:t>
      </w:r>
      <w:r w:rsidRPr="00AF274C">
        <w:rPr>
          <w:sz w:val="18"/>
          <w:szCs w:val="18"/>
          <w:lang w:val="es-ES"/>
        </w:rPr>
        <w:t>l</w:t>
      </w:r>
      <w:r>
        <w:rPr>
          <w:sz w:val="18"/>
          <w:szCs w:val="18"/>
          <w:lang w:val="es-ES"/>
        </w:rPr>
        <w:t>o</w:t>
      </w:r>
      <w:r w:rsidRPr="00AF274C">
        <w:rPr>
          <w:sz w:val="18"/>
          <w:szCs w:val="18"/>
          <w:lang w:val="es-ES"/>
        </w:rPr>
        <w:t>s pacient</w:t>
      </w:r>
      <w:r>
        <w:rPr>
          <w:sz w:val="18"/>
          <w:szCs w:val="18"/>
          <w:lang w:val="es-ES"/>
        </w:rPr>
        <w:t>es con</w:t>
      </w:r>
      <w:r w:rsidRPr="00AF274C">
        <w:rPr>
          <w:sz w:val="18"/>
          <w:szCs w:val="18"/>
          <w:lang w:val="es-ES"/>
        </w:rPr>
        <w:t xml:space="preserve"> </w:t>
      </w:r>
      <w:r w:rsidRPr="00AF274C">
        <w:rPr>
          <w:b/>
          <w:sz w:val="18"/>
          <w:szCs w:val="18"/>
          <w:lang w:val="es-ES"/>
        </w:rPr>
        <w:t>asma</w:t>
      </w:r>
      <w:r>
        <w:rPr>
          <w:sz w:val="18"/>
          <w:szCs w:val="18"/>
          <w:lang w:val="es-ES"/>
        </w:rPr>
        <w:t xml:space="preserve"> no deben </w:t>
      </w:r>
      <w:r w:rsidRPr="00AF274C">
        <w:rPr>
          <w:sz w:val="18"/>
          <w:szCs w:val="18"/>
          <w:lang w:val="es-ES"/>
        </w:rPr>
        <w:t xml:space="preserve">abandonar el </w:t>
      </w:r>
      <w:r>
        <w:rPr>
          <w:sz w:val="18"/>
          <w:szCs w:val="18"/>
          <w:lang w:val="es-ES"/>
        </w:rPr>
        <w:t>tratamiento</w:t>
      </w:r>
      <w:r w:rsidRPr="00AF274C">
        <w:rPr>
          <w:sz w:val="18"/>
          <w:szCs w:val="18"/>
          <w:lang w:val="es-ES"/>
        </w:rPr>
        <w:t>. A</w:t>
      </w:r>
      <w:r>
        <w:rPr>
          <w:sz w:val="18"/>
          <w:szCs w:val="18"/>
          <w:lang w:val="es-ES"/>
        </w:rPr>
        <w:t xml:space="preserve">hora bien, </w:t>
      </w:r>
      <w:r w:rsidRPr="00AF274C">
        <w:rPr>
          <w:sz w:val="18"/>
          <w:szCs w:val="18"/>
          <w:lang w:val="es-ES"/>
        </w:rPr>
        <w:t>ha</w:t>
      </w:r>
      <w:r>
        <w:rPr>
          <w:sz w:val="18"/>
          <w:szCs w:val="18"/>
          <w:lang w:val="es-ES"/>
        </w:rPr>
        <w:t>y</w:t>
      </w:r>
      <w:r w:rsidRPr="00AF274C">
        <w:rPr>
          <w:sz w:val="18"/>
          <w:szCs w:val="18"/>
          <w:lang w:val="es-ES"/>
        </w:rPr>
        <w:t xml:space="preserve"> pacient</w:t>
      </w:r>
      <w:r>
        <w:rPr>
          <w:sz w:val="18"/>
          <w:szCs w:val="18"/>
          <w:lang w:val="es-ES"/>
        </w:rPr>
        <w:t>e</w:t>
      </w:r>
      <w:r w:rsidRPr="00AF274C">
        <w:rPr>
          <w:sz w:val="18"/>
          <w:szCs w:val="18"/>
          <w:lang w:val="es-ES"/>
        </w:rPr>
        <w:t>s que re</w:t>
      </w:r>
      <w:r>
        <w:rPr>
          <w:sz w:val="18"/>
          <w:szCs w:val="18"/>
          <w:lang w:val="es-ES"/>
        </w:rPr>
        <w:t>ci</w:t>
      </w:r>
      <w:r w:rsidRPr="00AF274C">
        <w:rPr>
          <w:sz w:val="18"/>
          <w:szCs w:val="18"/>
          <w:lang w:val="es-ES"/>
        </w:rPr>
        <w:t>ben corticoides i</w:t>
      </w:r>
      <w:r>
        <w:rPr>
          <w:sz w:val="18"/>
          <w:szCs w:val="18"/>
          <w:lang w:val="es-ES"/>
        </w:rPr>
        <w:t>nhalados sin ser realmente asmá</w:t>
      </w:r>
      <w:r w:rsidRPr="00AF274C">
        <w:rPr>
          <w:sz w:val="18"/>
          <w:szCs w:val="18"/>
          <w:lang w:val="es-ES"/>
        </w:rPr>
        <w:t>tic</w:t>
      </w:r>
      <w:r>
        <w:rPr>
          <w:sz w:val="18"/>
          <w:szCs w:val="18"/>
          <w:lang w:val="es-ES"/>
        </w:rPr>
        <w:t>o</w:t>
      </w:r>
      <w:r w:rsidRPr="00AF274C">
        <w:rPr>
          <w:sz w:val="18"/>
          <w:szCs w:val="18"/>
          <w:lang w:val="es-ES"/>
        </w:rPr>
        <w:t xml:space="preserve">s. </w:t>
      </w:r>
      <w:r>
        <w:rPr>
          <w:sz w:val="18"/>
          <w:szCs w:val="18"/>
          <w:lang w:val="es-ES"/>
        </w:rPr>
        <w:t>Por ejemplo, en</w:t>
      </w:r>
      <w:r w:rsidRPr="00AF274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Cataluña cada año</w:t>
      </w:r>
      <w:r w:rsidRPr="00AF274C">
        <w:rPr>
          <w:sz w:val="18"/>
          <w:szCs w:val="18"/>
          <w:lang w:val="es-ES"/>
        </w:rPr>
        <w:t xml:space="preserve"> un</w:t>
      </w:r>
      <w:r>
        <w:rPr>
          <w:sz w:val="18"/>
          <w:szCs w:val="18"/>
          <w:lang w:val="es-ES"/>
        </w:rPr>
        <w:t>o</w:t>
      </w:r>
      <w:r w:rsidRPr="00AF274C">
        <w:rPr>
          <w:sz w:val="18"/>
          <w:szCs w:val="18"/>
          <w:lang w:val="es-ES"/>
        </w:rPr>
        <w:t>s 35.00</w:t>
      </w:r>
      <w:r>
        <w:rPr>
          <w:sz w:val="18"/>
          <w:szCs w:val="18"/>
          <w:lang w:val="es-ES"/>
        </w:rPr>
        <w:t>0 menores de 15 años reciben corticoides inhalado</w:t>
      </w:r>
      <w:r w:rsidRPr="00AF274C">
        <w:rPr>
          <w:sz w:val="18"/>
          <w:szCs w:val="18"/>
          <w:lang w:val="es-ES"/>
        </w:rPr>
        <w:t>s, de manera ocasional i aparent</w:t>
      </w:r>
      <w:r>
        <w:rPr>
          <w:sz w:val="18"/>
          <w:szCs w:val="18"/>
          <w:lang w:val="es-ES"/>
        </w:rPr>
        <w:t>e</w:t>
      </w:r>
      <w:r w:rsidRPr="00AF274C">
        <w:rPr>
          <w:sz w:val="18"/>
          <w:szCs w:val="18"/>
          <w:lang w:val="es-ES"/>
        </w:rPr>
        <w:t>ment</w:t>
      </w:r>
      <w:r>
        <w:rPr>
          <w:sz w:val="18"/>
          <w:szCs w:val="18"/>
          <w:lang w:val="es-ES"/>
        </w:rPr>
        <w:t>e</w:t>
      </w:r>
      <w:r w:rsidRPr="00AF274C">
        <w:rPr>
          <w:sz w:val="18"/>
          <w:szCs w:val="18"/>
          <w:lang w:val="es-ES"/>
        </w:rPr>
        <w:t xml:space="preserve"> injustificada;</w:t>
      </w:r>
      <w:r w:rsidRPr="00AF274C">
        <w:rPr>
          <w:rStyle w:val="Refdenotaalfinal"/>
          <w:sz w:val="18"/>
          <w:szCs w:val="18"/>
          <w:lang w:val="es-ES"/>
        </w:rPr>
        <w:endnoteReference w:id="42"/>
      </w:r>
      <w:r>
        <w:rPr>
          <w:sz w:val="18"/>
          <w:szCs w:val="18"/>
          <w:lang w:val="es-ES"/>
        </w:rPr>
        <w:t xml:space="preserve"> es conveniente</w:t>
      </w:r>
      <w:r w:rsidRPr="00AF274C">
        <w:rPr>
          <w:sz w:val="18"/>
          <w:szCs w:val="18"/>
          <w:lang w:val="es-ES"/>
        </w:rPr>
        <w:t xml:space="preserve"> revisar</w:t>
      </w:r>
      <w:r>
        <w:rPr>
          <w:sz w:val="18"/>
          <w:szCs w:val="18"/>
          <w:lang w:val="es-ES"/>
        </w:rPr>
        <w:t xml:space="preserve"> y</w:t>
      </w:r>
      <w:r w:rsidRPr="00AF274C">
        <w:rPr>
          <w:sz w:val="18"/>
          <w:szCs w:val="18"/>
          <w:lang w:val="es-ES"/>
        </w:rPr>
        <w:t xml:space="preserve"> eventualment</w:t>
      </w:r>
      <w:r>
        <w:rPr>
          <w:sz w:val="18"/>
          <w:szCs w:val="18"/>
          <w:lang w:val="es-ES"/>
        </w:rPr>
        <w:t>e</w:t>
      </w:r>
      <w:r w:rsidRPr="00AF274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suspender</w:t>
      </w:r>
      <w:r w:rsidRPr="00AF274C">
        <w:rPr>
          <w:sz w:val="18"/>
          <w:szCs w:val="18"/>
          <w:lang w:val="es-ES"/>
        </w:rPr>
        <w:t xml:space="preserve"> </w:t>
      </w:r>
      <w:r>
        <w:rPr>
          <w:sz w:val="18"/>
          <w:szCs w:val="18"/>
          <w:lang w:val="es-ES"/>
        </w:rPr>
        <w:t>estas</w:t>
      </w:r>
      <w:r w:rsidRPr="00AF274C">
        <w:rPr>
          <w:sz w:val="18"/>
          <w:szCs w:val="18"/>
          <w:lang w:val="es-ES"/>
        </w:rPr>
        <w:t xml:space="preserve"> prescripcion</w:t>
      </w:r>
      <w:r>
        <w:rPr>
          <w:sz w:val="18"/>
          <w:szCs w:val="18"/>
          <w:lang w:val="es-ES"/>
        </w:rPr>
        <w:t>e</w:t>
      </w:r>
      <w:r w:rsidRPr="00AF274C">
        <w:rPr>
          <w:sz w:val="18"/>
          <w:szCs w:val="18"/>
          <w:lang w:val="es-ES"/>
        </w:rPr>
        <w:t>s.</w:t>
      </w:r>
    </w:p>
    <w:p w:rsidR="00B73742" w:rsidRPr="00AF274C" w:rsidRDefault="00B73742" w:rsidP="00B73742">
      <w:pPr>
        <w:ind w:left="993" w:hanging="284"/>
        <w:rPr>
          <w:sz w:val="18"/>
          <w:szCs w:val="18"/>
          <w:lang w:val="es-ES"/>
        </w:rPr>
      </w:pPr>
    </w:p>
    <w:p w:rsidR="00B73742" w:rsidRPr="00AF274C" w:rsidRDefault="00B73742" w:rsidP="00B73742">
      <w:pPr>
        <w:pStyle w:val="Prrafodelista"/>
        <w:numPr>
          <w:ilvl w:val="0"/>
          <w:numId w:val="6"/>
        </w:numPr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lastRenderedPageBreak/>
        <w:t>Una bue</w:t>
      </w:r>
      <w:r w:rsidRPr="00AF274C">
        <w:rPr>
          <w:sz w:val="18"/>
          <w:szCs w:val="18"/>
          <w:lang w:val="es-ES"/>
        </w:rPr>
        <w:t>na part</w:t>
      </w:r>
      <w:r>
        <w:rPr>
          <w:sz w:val="18"/>
          <w:szCs w:val="18"/>
          <w:lang w:val="es-ES"/>
        </w:rPr>
        <w:t>e</w:t>
      </w:r>
      <w:r w:rsidRPr="00AF274C">
        <w:rPr>
          <w:sz w:val="18"/>
          <w:szCs w:val="18"/>
          <w:lang w:val="es-ES"/>
        </w:rPr>
        <w:t xml:space="preserve"> de</w:t>
      </w:r>
      <w:r>
        <w:rPr>
          <w:sz w:val="18"/>
          <w:szCs w:val="18"/>
          <w:lang w:val="es-ES"/>
        </w:rPr>
        <w:t xml:space="preserve"> </w:t>
      </w:r>
      <w:r w:rsidRPr="00AF274C">
        <w:rPr>
          <w:sz w:val="18"/>
          <w:szCs w:val="18"/>
          <w:lang w:val="es-ES"/>
        </w:rPr>
        <w:t>l</w:t>
      </w:r>
      <w:r>
        <w:rPr>
          <w:sz w:val="18"/>
          <w:szCs w:val="18"/>
          <w:lang w:val="es-ES"/>
        </w:rPr>
        <w:t>o</w:t>
      </w:r>
      <w:r w:rsidRPr="00AF274C">
        <w:rPr>
          <w:sz w:val="18"/>
          <w:szCs w:val="18"/>
          <w:lang w:val="es-ES"/>
        </w:rPr>
        <w:t>s pacient</w:t>
      </w:r>
      <w:r>
        <w:rPr>
          <w:sz w:val="18"/>
          <w:szCs w:val="18"/>
          <w:lang w:val="es-ES"/>
        </w:rPr>
        <w:t>es con</w:t>
      </w:r>
      <w:r w:rsidRPr="00AF274C">
        <w:rPr>
          <w:sz w:val="18"/>
          <w:szCs w:val="18"/>
          <w:lang w:val="es-ES"/>
        </w:rPr>
        <w:t xml:space="preserve"> </w:t>
      </w:r>
      <w:r>
        <w:rPr>
          <w:b/>
          <w:sz w:val="18"/>
          <w:szCs w:val="18"/>
          <w:lang w:val="es-ES"/>
        </w:rPr>
        <w:t>E</w:t>
      </w:r>
      <w:r w:rsidRPr="00AF274C">
        <w:rPr>
          <w:b/>
          <w:sz w:val="18"/>
          <w:szCs w:val="18"/>
          <w:lang w:val="es-ES"/>
        </w:rPr>
        <w:t>POC</w:t>
      </w:r>
      <w:r w:rsidRPr="00AF274C">
        <w:rPr>
          <w:sz w:val="18"/>
          <w:szCs w:val="18"/>
          <w:lang w:val="es-ES"/>
        </w:rPr>
        <w:t xml:space="preserve"> poden prescindir de</w:t>
      </w:r>
      <w:r>
        <w:rPr>
          <w:sz w:val="18"/>
          <w:szCs w:val="18"/>
          <w:lang w:val="es-ES"/>
        </w:rPr>
        <w:t xml:space="preserve"> </w:t>
      </w:r>
      <w:r w:rsidRPr="00AF274C">
        <w:rPr>
          <w:sz w:val="18"/>
          <w:szCs w:val="18"/>
          <w:lang w:val="es-ES"/>
        </w:rPr>
        <w:t>l</w:t>
      </w:r>
      <w:r>
        <w:rPr>
          <w:sz w:val="18"/>
          <w:szCs w:val="18"/>
          <w:lang w:val="es-ES"/>
        </w:rPr>
        <w:t>o</w:t>
      </w:r>
      <w:r w:rsidRPr="00AF274C">
        <w:rPr>
          <w:sz w:val="18"/>
          <w:szCs w:val="18"/>
          <w:lang w:val="es-ES"/>
        </w:rPr>
        <w:t>s</w:t>
      </w:r>
      <w:r>
        <w:rPr>
          <w:sz w:val="18"/>
          <w:szCs w:val="18"/>
          <w:lang w:val="es-ES"/>
        </w:rPr>
        <w:t xml:space="preserve"> corticoides inhalado</w:t>
      </w:r>
      <w:r w:rsidRPr="00AF274C">
        <w:rPr>
          <w:sz w:val="18"/>
          <w:szCs w:val="18"/>
          <w:lang w:val="es-ES"/>
        </w:rPr>
        <w:t xml:space="preserve">s; en un </w:t>
      </w:r>
      <w:r>
        <w:rPr>
          <w:sz w:val="18"/>
          <w:szCs w:val="18"/>
          <w:lang w:val="es-ES"/>
        </w:rPr>
        <w:t>estudio su</w:t>
      </w:r>
      <w:r w:rsidRPr="00AF274C">
        <w:rPr>
          <w:sz w:val="18"/>
          <w:szCs w:val="18"/>
          <w:lang w:val="es-ES"/>
        </w:rPr>
        <w:t xml:space="preserve"> suspensió</w:t>
      </w:r>
      <w:r>
        <w:rPr>
          <w:sz w:val="18"/>
          <w:szCs w:val="18"/>
          <w:lang w:val="es-ES"/>
        </w:rPr>
        <w:t xml:space="preserve">n se siguió de </w:t>
      </w:r>
      <w:r w:rsidRPr="00AF274C">
        <w:rPr>
          <w:sz w:val="18"/>
          <w:szCs w:val="18"/>
          <w:lang w:val="es-ES"/>
        </w:rPr>
        <w:t>una reducció</w:t>
      </w:r>
      <w:r>
        <w:rPr>
          <w:sz w:val="18"/>
          <w:szCs w:val="18"/>
          <w:lang w:val="es-ES"/>
        </w:rPr>
        <w:t>n</w:t>
      </w:r>
      <w:r w:rsidRPr="00AF274C">
        <w:rPr>
          <w:sz w:val="18"/>
          <w:szCs w:val="18"/>
          <w:lang w:val="es-ES"/>
        </w:rPr>
        <w:t xml:space="preserve"> de 37% en la </w:t>
      </w:r>
      <w:r>
        <w:rPr>
          <w:sz w:val="18"/>
          <w:szCs w:val="18"/>
          <w:lang w:val="es-ES"/>
        </w:rPr>
        <w:t>incidencia</w:t>
      </w:r>
      <w:r w:rsidRPr="00AF274C">
        <w:rPr>
          <w:sz w:val="18"/>
          <w:szCs w:val="18"/>
          <w:lang w:val="es-ES"/>
        </w:rPr>
        <w:t xml:space="preserve"> de </w:t>
      </w:r>
      <w:r>
        <w:rPr>
          <w:sz w:val="18"/>
          <w:szCs w:val="18"/>
          <w:lang w:val="es-ES"/>
        </w:rPr>
        <w:t>neumonía</w:t>
      </w:r>
      <w:r w:rsidRPr="00AF274C">
        <w:rPr>
          <w:sz w:val="18"/>
          <w:szCs w:val="18"/>
          <w:lang w:val="es-ES"/>
        </w:rPr>
        <w:t>.</w:t>
      </w:r>
      <w:r w:rsidRPr="00AF274C">
        <w:rPr>
          <w:rStyle w:val="Refdenotaalfinal"/>
          <w:sz w:val="18"/>
          <w:szCs w:val="18"/>
          <w:lang w:val="es-ES"/>
        </w:rPr>
        <w:endnoteReference w:id="43"/>
      </w:r>
    </w:p>
    <w:p w:rsidR="00B73742" w:rsidRPr="00AF274C" w:rsidRDefault="00B73742" w:rsidP="00B73742">
      <w:pPr>
        <w:rPr>
          <w:sz w:val="20"/>
          <w:szCs w:val="20"/>
          <w:lang w:val="es-ES"/>
        </w:rPr>
      </w:pPr>
    </w:p>
    <w:p w:rsidR="00250862" w:rsidRPr="00AF274C" w:rsidRDefault="00250862" w:rsidP="00A10828">
      <w:pPr>
        <w:rPr>
          <w:sz w:val="20"/>
          <w:szCs w:val="20"/>
          <w:lang w:val="es-ES"/>
        </w:rPr>
      </w:pPr>
    </w:p>
    <w:p w:rsidR="00C91ABB" w:rsidRPr="00AF274C" w:rsidRDefault="00FA2E86" w:rsidP="00C4716E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IECA y antagonistas de la </w:t>
      </w:r>
      <w:r w:rsidR="00AB426C" w:rsidRPr="00AF274C">
        <w:rPr>
          <w:b/>
          <w:sz w:val="20"/>
          <w:szCs w:val="20"/>
          <w:lang w:val="es-ES"/>
        </w:rPr>
        <w:t>angiotensina (ARA-2)</w:t>
      </w:r>
    </w:p>
    <w:p w:rsidR="00612EAE" w:rsidRPr="00AF274C" w:rsidRDefault="00612EAE" w:rsidP="00612EAE">
      <w:pPr>
        <w:rPr>
          <w:sz w:val="20"/>
          <w:szCs w:val="20"/>
          <w:lang w:val="es-ES"/>
        </w:rPr>
      </w:pPr>
    </w:p>
    <w:p w:rsidR="00405F3B" w:rsidRPr="00AF274C" w:rsidRDefault="00FA2E86" w:rsidP="00612EAE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Ha surgido</w:t>
      </w:r>
      <w:r w:rsidR="00AB426C" w:rsidRPr="00AF274C">
        <w:rPr>
          <w:sz w:val="20"/>
          <w:szCs w:val="20"/>
          <w:lang w:val="es-ES"/>
        </w:rPr>
        <w:t xml:space="preserve"> un debat</w:t>
      </w:r>
      <w:r>
        <w:rPr>
          <w:sz w:val="20"/>
          <w:szCs w:val="20"/>
          <w:lang w:val="es-ES"/>
        </w:rPr>
        <w:t>e sobre si lo</w:t>
      </w:r>
      <w:r w:rsidR="00AB426C" w:rsidRPr="00AF274C">
        <w:rPr>
          <w:sz w:val="20"/>
          <w:szCs w:val="20"/>
          <w:lang w:val="es-ES"/>
        </w:rPr>
        <w:t>s pacient</w:t>
      </w:r>
      <w:r>
        <w:rPr>
          <w:sz w:val="20"/>
          <w:szCs w:val="20"/>
          <w:lang w:val="es-ES"/>
        </w:rPr>
        <w:t>e</w:t>
      </w:r>
      <w:r w:rsidR="00AB426C" w:rsidRPr="00AF274C">
        <w:rPr>
          <w:sz w:val="20"/>
          <w:szCs w:val="20"/>
          <w:lang w:val="es-ES"/>
        </w:rPr>
        <w:t>s que re</w:t>
      </w:r>
      <w:r>
        <w:rPr>
          <w:sz w:val="20"/>
          <w:szCs w:val="20"/>
          <w:lang w:val="es-ES"/>
        </w:rPr>
        <w:t>ci</w:t>
      </w:r>
      <w:r w:rsidR="00AB426C" w:rsidRPr="00AF274C">
        <w:rPr>
          <w:sz w:val="20"/>
          <w:szCs w:val="20"/>
          <w:lang w:val="es-ES"/>
        </w:rPr>
        <w:t xml:space="preserve">ben </w:t>
      </w:r>
      <w:r w:rsidR="00AF274C">
        <w:rPr>
          <w:sz w:val="20"/>
          <w:szCs w:val="20"/>
          <w:lang w:val="es-ES"/>
        </w:rPr>
        <w:t>tratamiento</w:t>
      </w:r>
      <w:r>
        <w:rPr>
          <w:sz w:val="20"/>
          <w:szCs w:val="20"/>
          <w:lang w:val="es-ES"/>
        </w:rPr>
        <w:t xml:space="preserve"> con</w:t>
      </w:r>
      <w:r w:rsidR="00AB426C" w:rsidRPr="00AF274C">
        <w:rPr>
          <w:sz w:val="20"/>
          <w:szCs w:val="20"/>
          <w:lang w:val="es-ES"/>
        </w:rPr>
        <w:t xml:space="preserve"> inhibidor</w:t>
      </w:r>
      <w:r>
        <w:rPr>
          <w:sz w:val="20"/>
          <w:szCs w:val="20"/>
          <w:lang w:val="es-ES"/>
        </w:rPr>
        <w:t xml:space="preserve">es de la </w:t>
      </w:r>
      <w:r w:rsidR="00AB426C" w:rsidRPr="00AF274C">
        <w:rPr>
          <w:sz w:val="20"/>
          <w:szCs w:val="20"/>
          <w:lang w:val="es-ES"/>
        </w:rPr>
        <w:t>enzim</w:t>
      </w:r>
      <w:r>
        <w:rPr>
          <w:sz w:val="20"/>
          <w:szCs w:val="20"/>
          <w:lang w:val="es-ES"/>
        </w:rPr>
        <w:t>a conversiva</w:t>
      </w:r>
      <w:r w:rsidR="00AB426C" w:rsidRPr="00AF274C">
        <w:rPr>
          <w:sz w:val="20"/>
          <w:szCs w:val="20"/>
          <w:lang w:val="es-ES"/>
        </w:rPr>
        <w:t xml:space="preserve"> de </w:t>
      </w:r>
      <w:r>
        <w:rPr>
          <w:sz w:val="20"/>
          <w:szCs w:val="20"/>
          <w:lang w:val="es-ES"/>
        </w:rPr>
        <w:t>la angiotensina y los antagonistas del receptor de l</w:t>
      </w:r>
      <w:r w:rsidR="00581206">
        <w:rPr>
          <w:sz w:val="20"/>
          <w:szCs w:val="20"/>
          <w:lang w:val="es-ES"/>
        </w:rPr>
        <w:t>a</w:t>
      </w:r>
      <w:r>
        <w:rPr>
          <w:sz w:val="20"/>
          <w:szCs w:val="20"/>
          <w:lang w:val="es-ES"/>
        </w:rPr>
        <w:t xml:space="preserve"> </w:t>
      </w:r>
      <w:r w:rsidR="00AB426C" w:rsidRPr="00AF274C">
        <w:rPr>
          <w:sz w:val="20"/>
          <w:szCs w:val="20"/>
          <w:lang w:val="es-ES"/>
        </w:rPr>
        <w:t>angiotensina 2 (ARA-2) t</w:t>
      </w:r>
      <w:r>
        <w:rPr>
          <w:sz w:val="20"/>
          <w:szCs w:val="20"/>
          <w:lang w:val="es-ES"/>
        </w:rPr>
        <w:t>i</w:t>
      </w:r>
      <w:r w:rsidR="00AB426C" w:rsidRPr="00AF274C">
        <w:rPr>
          <w:sz w:val="20"/>
          <w:szCs w:val="20"/>
          <w:lang w:val="es-ES"/>
        </w:rPr>
        <w:t xml:space="preserve">enen un </w:t>
      </w:r>
      <w:r w:rsidR="00AF274C">
        <w:rPr>
          <w:sz w:val="20"/>
          <w:szCs w:val="20"/>
          <w:lang w:val="es-ES"/>
        </w:rPr>
        <w:t>riesgo</w:t>
      </w:r>
      <w:r w:rsidR="00581206">
        <w:rPr>
          <w:sz w:val="20"/>
          <w:szCs w:val="20"/>
          <w:lang w:val="es-ES"/>
        </w:rPr>
        <w:t xml:space="preserve"> au</w:t>
      </w:r>
      <w:r>
        <w:rPr>
          <w:sz w:val="20"/>
          <w:szCs w:val="20"/>
          <w:lang w:val="es-ES"/>
        </w:rPr>
        <w:t>mentado</w:t>
      </w:r>
      <w:r w:rsidR="00AB426C" w:rsidRPr="00AF274C">
        <w:rPr>
          <w:sz w:val="20"/>
          <w:szCs w:val="20"/>
          <w:lang w:val="es-ES"/>
        </w:rPr>
        <w:t xml:space="preserve"> de </w:t>
      </w:r>
      <w:r w:rsidR="00AF274C">
        <w:rPr>
          <w:sz w:val="20"/>
          <w:szCs w:val="20"/>
          <w:lang w:val="es-ES"/>
        </w:rPr>
        <w:t>neumonía</w:t>
      </w:r>
      <w:r>
        <w:rPr>
          <w:sz w:val="20"/>
          <w:szCs w:val="20"/>
          <w:lang w:val="es-ES"/>
        </w:rPr>
        <w:t xml:space="preserve"> grave si contra</w:t>
      </w:r>
      <w:r w:rsidR="00AB426C" w:rsidRPr="00AF274C">
        <w:rPr>
          <w:sz w:val="20"/>
          <w:szCs w:val="20"/>
          <w:lang w:val="es-ES"/>
        </w:rPr>
        <w:t>en la COVID-19.</w:t>
      </w:r>
      <w:r>
        <w:rPr>
          <w:sz w:val="20"/>
          <w:szCs w:val="20"/>
          <w:lang w:val="es-ES"/>
        </w:rPr>
        <w:t xml:space="preserve"> La hipó</w:t>
      </w:r>
      <w:r w:rsidR="00405F3B" w:rsidRPr="00AF274C">
        <w:rPr>
          <w:sz w:val="20"/>
          <w:szCs w:val="20"/>
          <w:lang w:val="es-ES"/>
        </w:rPr>
        <w:t>tesi</w:t>
      </w:r>
      <w:r>
        <w:rPr>
          <w:sz w:val="20"/>
          <w:szCs w:val="20"/>
          <w:lang w:val="es-ES"/>
        </w:rPr>
        <w:t>s ha sido formulada sobre la base de datos obtenid</w:t>
      </w:r>
      <w:r w:rsidR="0008726F">
        <w:rPr>
          <w:sz w:val="20"/>
          <w:szCs w:val="20"/>
          <w:lang w:val="es-ES"/>
        </w:rPr>
        <w:t>o</w:t>
      </w:r>
      <w:r>
        <w:rPr>
          <w:sz w:val="20"/>
          <w:szCs w:val="20"/>
          <w:lang w:val="es-ES"/>
        </w:rPr>
        <w:t>s en se</w:t>
      </w:r>
      <w:r w:rsidR="00405F3B" w:rsidRPr="00AF274C">
        <w:rPr>
          <w:sz w:val="20"/>
          <w:szCs w:val="20"/>
          <w:lang w:val="es-ES"/>
        </w:rPr>
        <w:t>ries de pacient</w:t>
      </w:r>
      <w:r>
        <w:rPr>
          <w:sz w:val="20"/>
          <w:szCs w:val="20"/>
          <w:lang w:val="es-ES"/>
        </w:rPr>
        <w:t>e</w:t>
      </w:r>
      <w:r w:rsidR="00581206">
        <w:rPr>
          <w:sz w:val="20"/>
          <w:szCs w:val="20"/>
          <w:lang w:val="es-ES"/>
        </w:rPr>
        <w:t>s, sin</w:t>
      </w:r>
      <w:r w:rsidR="00405F3B" w:rsidRPr="00AF274C">
        <w:rPr>
          <w:sz w:val="20"/>
          <w:szCs w:val="20"/>
          <w:lang w:val="es-ES"/>
        </w:rPr>
        <w:t xml:space="preserve"> grup</w:t>
      </w:r>
      <w:r w:rsidR="00581206">
        <w:rPr>
          <w:sz w:val="20"/>
          <w:szCs w:val="20"/>
          <w:lang w:val="es-ES"/>
        </w:rPr>
        <w:t>o</w:t>
      </w:r>
      <w:r w:rsidR="00405F3B" w:rsidRPr="00AF274C">
        <w:rPr>
          <w:sz w:val="20"/>
          <w:szCs w:val="20"/>
          <w:lang w:val="es-ES"/>
        </w:rPr>
        <w:t xml:space="preserve"> de comparació</w:t>
      </w:r>
      <w:r w:rsidR="00581206">
        <w:rPr>
          <w:sz w:val="20"/>
          <w:szCs w:val="20"/>
          <w:lang w:val="es-ES"/>
        </w:rPr>
        <w:t>n</w:t>
      </w:r>
      <w:r w:rsidR="00D7726F" w:rsidRPr="00AF274C">
        <w:rPr>
          <w:sz w:val="20"/>
          <w:szCs w:val="20"/>
          <w:lang w:val="es-ES"/>
        </w:rPr>
        <w:t>.</w:t>
      </w:r>
      <w:r w:rsidR="00405F3B" w:rsidRPr="00AF274C">
        <w:rPr>
          <w:rStyle w:val="Refdenotaalfinal"/>
          <w:sz w:val="20"/>
          <w:szCs w:val="20"/>
          <w:lang w:val="es-ES"/>
        </w:rPr>
        <w:endnoteReference w:id="44"/>
      </w:r>
      <w:r w:rsidR="00D7726F" w:rsidRPr="00AF274C">
        <w:rPr>
          <w:sz w:val="20"/>
          <w:szCs w:val="20"/>
          <w:vertAlign w:val="superscript"/>
          <w:lang w:val="es-ES"/>
        </w:rPr>
        <w:t xml:space="preserve"> </w:t>
      </w:r>
      <w:r w:rsidR="00035F84">
        <w:rPr>
          <w:sz w:val="20"/>
          <w:szCs w:val="20"/>
          <w:lang w:val="es-ES"/>
        </w:rPr>
        <w:t>La</w:t>
      </w:r>
      <w:r w:rsidR="00581206">
        <w:rPr>
          <w:sz w:val="20"/>
          <w:szCs w:val="20"/>
          <w:lang w:val="es-ES"/>
        </w:rPr>
        <w:t>s as</w:t>
      </w:r>
      <w:r w:rsidR="0008726F">
        <w:rPr>
          <w:sz w:val="20"/>
          <w:szCs w:val="20"/>
          <w:lang w:val="es-ES"/>
        </w:rPr>
        <w:t>ociacion</w:t>
      </w:r>
      <w:r w:rsidR="00581206">
        <w:rPr>
          <w:sz w:val="20"/>
          <w:szCs w:val="20"/>
          <w:lang w:val="es-ES"/>
        </w:rPr>
        <w:t>e</w:t>
      </w:r>
      <w:r w:rsidR="0008726F">
        <w:rPr>
          <w:sz w:val="20"/>
          <w:szCs w:val="20"/>
          <w:lang w:val="es-ES"/>
        </w:rPr>
        <w:t>s cardiológicas de</w:t>
      </w:r>
      <w:r w:rsidR="00581206">
        <w:rPr>
          <w:sz w:val="20"/>
          <w:szCs w:val="20"/>
          <w:lang w:val="es-ES"/>
        </w:rPr>
        <w:t xml:space="preserve"> EEUU</w:t>
      </w:r>
      <w:r w:rsidR="0008726F">
        <w:rPr>
          <w:sz w:val="20"/>
          <w:szCs w:val="20"/>
          <w:lang w:val="es-ES"/>
        </w:rPr>
        <w:t xml:space="preserve"> han publicado</w:t>
      </w:r>
      <w:r w:rsidR="00D7726F" w:rsidRPr="00AF274C">
        <w:rPr>
          <w:sz w:val="20"/>
          <w:szCs w:val="20"/>
          <w:lang w:val="es-ES"/>
        </w:rPr>
        <w:t xml:space="preserve"> un comunica</w:t>
      </w:r>
      <w:r w:rsidR="00581206">
        <w:rPr>
          <w:sz w:val="20"/>
          <w:szCs w:val="20"/>
          <w:lang w:val="es-ES"/>
        </w:rPr>
        <w:t>do</w:t>
      </w:r>
      <w:r w:rsidR="00405F3B" w:rsidRPr="00AF274C">
        <w:rPr>
          <w:rStyle w:val="Refdenotaalfinal"/>
          <w:sz w:val="20"/>
          <w:szCs w:val="20"/>
          <w:lang w:val="es-ES"/>
        </w:rPr>
        <w:endnoteReference w:id="45"/>
      </w:r>
      <w:r w:rsidR="00581206">
        <w:rPr>
          <w:sz w:val="20"/>
          <w:szCs w:val="20"/>
          <w:lang w:val="es-ES"/>
        </w:rPr>
        <w:t xml:space="preserve"> en el afirma</w:t>
      </w:r>
      <w:r w:rsidR="00D7726F" w:rsidRPr="00AF274C">
        <w:rPr>
          <w:sz w:val="20"/>
          <w:szCs w:val="20"/>
          <w:lang w:val="es-ES"/>
        </w:rPr>
        <w:t xml:space="preserve">n que </w:t>
      </w:r>
      <w:r w:rsidR="00FF0046" w:rsidRPr="00AF274C">
        <w:rPr>
          <w:sz w:val="20"/>
          <w:szCs w:val="20"/>
          <w:lang w:val="es-ES"/>
        </w:rPr>
        <w:t>n</w:t>
      </w:r>
      <w:r w:rsidR="00581206">
        <w:rPr>
          <w:sz w:val="20"/>
          <w:szCs w:val="20"/>
          <w:lang w:val="es-ES"/>
        </w:rPr>
        <w:t>o</w:t>
      </w:r>
      <w:r w:rsidR="00035F84">
        <w:rPr>
          <w:sz w:val="20"/>
          <w:szCs w:val="20"/>
          <w:lang w:val="es-ES"/>
        </w:rPr>
        <w:t xml:space="preserve"> </w:t>
      </w:r>
      <w:r w:rsidR="00AB426C" w:rsidRPr="00AF274C">
        <w:rPr>
          <w:sz w:val="20"/>
          <w:szCs w:val="20"/>
          <w:lang w:val="es-ES"/>
        </w:rPr>
        <w:t>ha</w:t>
      </w:r>
      <w:r w:rsidR="00581206">
        <w:rPr>
          <w:sz w:val="20"/>
          <w:szCs w:val="20"/>
          <w:lang w:val="es-ES"/>
        </w:rPr>
        <w:t>y pruebas clínicas de tal efecto, pero</w:t>
      </w:r>
      <w:r w:rsidR="00D7726F" w:rsidRPr="00AF274C">
        <w:rPr>
          <w:sz w:val="20"/>
          <w:szCs w:val="20"/>
          <w:lang w:val="es-ES"/>
        </w:rPr>
        <w:t xml:space="preserve"> </w:t>
      </w:r>
      <w:r w:rsidR="00035F84">
        <w:rPr>
          <w:sz w:val="20"/>
          <w:szCs w:val="20"/>
          <w:lang w:val="es-ES"/>
        </w:rPr>
        <w:t>recomiendan que se deben</w:t>
      </w:r>
      <w:r w:rsidR="0008726F">
        <w:rPr>
          <w:sz w:val="20"/>
          <w:szCs w:val="20"/>
          <w:lang w:val="es-ES"/>
        </w:rPr>
        <w:t xml:space="preserve"> considerar cuidadosamente la</w:t>
      </w:r>
      <w:r w:rsidR="00581206">
        <w:rPr>
          <w:sz w:val="20"/>
          <w:szCs w:val="20"/>
          <w:lang w:val="es-ES"/>
        </w:rPr>
        <w:t>s nece</w:t>
      </w:r>
      <w:r w:rsidR="0008726F">
        <w:rPr>
          <w:sz w:val="20"/>
          <w:szCs w:val="20"/>
          <w:lang w:val="es-ES"/>
        </w:rPr>
        <w:t>sidade</w:t>
      </w:r>
      <w:r w:rsidR="00D7726F" w:rsidRPr="00AF274C">
        <w:rPr>
          <w:sz w:val="20"/>
          <w:szCs w:val="20"/>
          <w:lang w:val="es-ES"/>
        </w:rPr>
        <w:t>s de cada pacient</w:t>
      </w:r>
      <w:r>
        <w:rPr>
          <w:sz w:val="20"/>
          <w:szCs w:val="20"/>
          <w:lang w:val="es-ES"/>
        </w:rPr>
        <w:t>e</w:t>
      </w:r>
      <w:r w:rsidR="0008726F">
        <w:rPr>
          <w:sz w:val="20"/>
          <w:szCs w:val="20"/>
          <w:lang w:val="es-ES"/>
        </w:rPr>
        <w:t xml:space="preserve"> ante</w:t>
      </w:r>
      <w:r w:rsidR="00D7726F" w:rsidRPr="00AF274C">
        <w:rPr>
          <w:sz w:val="20"/>
          <w:szCs w:val="20"/>
          <w:lang w:val="es-ES"/>
        </w:rPr>
        <w:t xml:space="preserve">s de modificar un </w:t>
      </w:r>
      <w:r w:rsidR="00AF274C">
        <w:rPr>
          <w:sz w:val="20"/>
          <w:szCs w:val="20"/>
          <w:lang w:val="es-ES"/>
        </w:rPr>
        <w:t>tratamiento</w:t>
      </w:r>
      <w:r w:rsidR="0008726F">
        <w:rPr>
          <w:sz w:val="20"/>
          <w:szCs w:val="20"/>
          <w:lang w:val="es-ES"/>
        </w:rPr>
        <w:t xml:space="preserve"> con</w:t>
      </w:r>
      <w:r w:rsidR="00D7726F" w:rsidRPr="00AF274C">
        <w:rPr>
          <w:sz w:val="20"/>
          <w:szCs w:val="20"/>
          <w:lang w:val="es-ES"/>
        </w:rPr>
        <w:t xml:space="preserve"> un IECA o un ARA-2.</w:t>
      </w:r>
    </w:p>
    <w:p w:rsidR="00AB426C" w:rsidRPr="00AF274C" w:rsidRDefault="00AB426C" w:rsidP="00612EAE">
      <w:pPr>
        <w:rPr>
          <w:sz w:val="20"/>
          <w:szCs w:val="20"/>
          <w:lang w:val="es-ES"/>
        </w:rPr>
      </w:pPr>
    </w:p>
    <w:p w:rsidR="00AB426C" w:rsidRPr="00AF274C" w:rsidRDefault="00FF0046" w:rsidP="00D7726F">
      <w:pPr>
        <w:ind w:left="426" w:hanging="142"/>
        <w:rPr>
          <w:sz w:val="18"/>
          <w:szCs w:val="18"/>
          <w:lang w:val="es-ES"/>
        </w:rPr>
      </w:pPr>
      <w:r w:rsidRPr="00AF274C">
        <w:rPr>
          <w:sz w:val="18"/>
          <w:szCs w:val="18"/>
          <w:lang w:val="es-ES"/>
        </w:rPr>
        <w:t>U</w:t>
      </w:r>
      <w:r w:rsidR="00405F3B" w:rsidRPr="00AF274C">
        <w:rPr>
          <w:sz w:val="18"/>
          <w:szCs w:val="18"/>
          <w:lang w:val="es-ES"/>
        </w:rPr>
        <w:t xml:space="preserve">n </w:t>
      </w:r>
      <w:r w:rsidR="00AF274C">
        <w:rPr>
          <w:sz w:val="18"/>
          <w:szCs w:val="18"/>
          <w:lang w:val="es-ES"/>
        </w:rPr>
        <w:t>estudio</w:t>
      </w:r>
      <w:r w:rsidR="00581206">
        <w:rPr>
          <w:sz w:val="18"/>
          <w:szCs w:val="18"/>
          <w:lang w:val="es-ES"/>
        </w:rPr>
        <w:t xml:space="preserve"> publicado</w:t>
      </w:r>
      <w:r w:rsidR="00405F3B" w:rsidRPr="00AF274C">
        <w:rPr>
          <w:sz w:val="18"/>
          <w:szCs w:val="18"/>
          <w:lang w:val="es-ES"/>
        </w:rPr>
        <w:t xml:space="preserve"> </w:t>
      </w:r>
      <w:r w:rsidR="00581206">
        <w:rPr>
          <w:sz w:val="18"/>
          <w:szCs w:val="18"/>
          <w:lang w:val="es-ES"/>
        </w:rPr>
        <w:t>en</w:t>
      </w:r>
      <w:r w:rsidR="00405F3B" w:rsidRPr="00AF274C">
        <w:rPr>
          <w:sz w:val="18"/>
          <w:szCs w:val="18"/>
          <w:lang w:val="es-ES"/>
        </w:rPr>
        <w:t xml:space="preserve"> 2012, en 1.039 casos de </w:t>
      </w:r>
      <w:r w:rsidR="00AF274C">
        <w:rPr>
          <w:sz w:val="18"/>
          <w:szCs w:val="18"/>
          <w:lang w:val="es-ES"/>
        </w:rPr>
        <w:t>neumonía</w:t>
      </w:r>
      <w:r w:rsidR="00581206">
        <w:rPr>
          <w:sz w:val="18"/>
          <w:szCs w:val="18"/>
          <w:lang w:val="es-ES"/>
        </w:rPr>
        <w:t xml:space="preserve"> comunitaria y</w:t>
      </w:r>
      <w:r w:rsidR="00405F3B" w:rsidRPr="00AF274C">
        <w:rPr>
          <w:sz w:val="18"/>
          <w:szCs w:val="18"/>
          <w:lang w:val="es-ES"/>
        </w:rPr>
        <w:t xml:space="preserve"> 2.022 control</w:t>
      </w:r>
      <w:r w:rsidR="00581206">
        <w:rPr>
          <w:sz w:val="18"/>
          <w:szCs w:val="18"/>
          <w:lang w:val="es-ES"/>
        </w:rPr>
        <w:t>es, no halló</w:t>
      </w:r>
      <w:r w:rsidR="00405F3B" w:rsidRPr="00AF274C">
        <w:rPr>
          <w:sz w:val="18"/>
          <w:szCs w:val="18"/>
          <w:lang w:val="es-ES"/>
        </w:rPr>
        <w:t xml:space="preserve"> increment</w:t>
      </w:r>
      <w:r w:rsidR="00581206">
        <w:rPr>
          <w:sz w:val="18"/>
          <w:szCs w:val="18"/>
          <w:lang w:val="es-ES"/>
        </w:rPr>
        <w:t>o</w:t>
      </w:r>
      <w:r w:rsidR="00405F3B" w:rsidRPr="00AF274C">
        <w:rPr>
          <w:sz w:val="18"/>
          <w:szCs w:val="18"/>
          <w:lang w:val="es-ES"/>
        </w:rPr>
        <w:t xml:space="preserve"> del </w:t>
      </w:r>
      <w:r w:rsidR="00AF274C">
        <w:rPr>
          <w:sz w:val="18"/>
          <w:szCs w:val="18"/>
          <w:lang w:val="es-ES"/>
        </w:rPr>
        <w:t>riesgo</w:t>
      </w:r>
      <w:r w:rsidR="00581206">
        <w:rPr>
          <w:sz w:val="18"/>
          <w:szCs w:val="18"/>
          <w:lang w:val="es-ES"/>
        </w:rPr>
        <w:t xml:space="preserve"> en </w:t>
      </w:r>
      <w:r w:rsidR="00405F3B" w:rsidRPr="00AF274C">
        <w:rPr>
          <w:sz w:val="18"/>
          <w:szCs w:val="18"/>
          <w:lang w:val="es-ES"/>
        </w:rPr>
        <w:t>l</w:t>
      </w:r>
      <w:r w:rsidR="00581206">
        <w:rPr>
          <w:sz w:val="18"/>
          <w:szCs w:val="18"/>
          <w:lang w:val="es-ES"/>
        </w:rPr>
        <w:t>o</w:t>
      </w:r>
      <w:r w:rsidR="00405F3B" w:rsidRPr="00AF274C">
        <w:rPr>
          <w:sz w:val="18"/>
          <w:szCs w:val="18"/>
          <w:lang w:val="es-ES"/>
        </w:rPr>
        <w:t>s pacient</w:t>
      </w:r>
      <w:r w:rsidR="00581206">
        <w:rPr>
          <w:sz w:val="18"/>
          <w:szCs w:val="18"/>
          <w:lang w:val="es-ES"/>
        </w:rPr>
        <w:t>e</w:t>
      </w:r>
      <w:r w:rsidR="00405F3B" w:rsidRPr="00AF274C">
        <w:rPr>
          <w:sz w:val="18"/>
          <w:szCs w:val="18"/>
          <w:lang w:val="es-ES"/>
        </w:rPr>
        <w:t xml:space="preserve">s </w:t>
      </w:r>
      <w:r w:rsidR="0008726F">
        <w:rPr>
          <w:sz w:val="18"/>
          <w:szCs w:val="18"/>
          <w:lang w:val="es-ES"/>
        </w:rPr>
        <w:t>tratados</w:t>
      </w:r>
      <w:r w:rsidR="00581206">
        <w:rPr>
          <w:sz w:val="18"/>
          <w:szCs w:val="18"/>
          <w:lang w:val="es-ES"/>
        </w:rPr>
        <w:t xml:space="preserve"> con</w:t>
      </w:r>
      <w:r w:rsidR="00405F3B" w:rsidRPr="00AF274C">
        <w:rPr>
          <w:sz w:val="18"/>
          <w:szCs w:val="18"/>
          <w:lang w:val="es-ES"/>
        </w:rPr>
        <w:t xml:space="preserve"> IECA.</w:t>
      </w:r>
      <w:r w:rsidR="00405F3B" w:rsidRPr="00AF274C">
        <w:rPr>
          <w:rStyle w:val="Refdenotaalfinal"/>
          <w:sz w:val="18"/>
          <w:szCs w:val="18"/>
          <w:lang w:val="es-ES"/>
        </w:rPr>
        <w:endnoteReference w:id="46"/>
      </w:r>
    </w:p>
    <w:p w:rsidR="003312C7" w:rsidRDefault="003312C7" w:rsidP="00612EAE">
      <w:pPr>
        <w:rPr>
          <w:rFonts w:cs="Tahoma"/>
          <w:sz w:val="20"/>
          <w:szCs w:val="20"/>
          <w:lang w:val="es-ES"/>
        </w:rPr>
      </w:pPr>
    </w:p>
    <w:p w:rsidR="00035F84" w:rsidRDefault="00035F84" w:rsidP="00612EAE">
      <w:pPr>
        <w:rPr>
          <w:rFonts w:cs="Tahoma"/>
          <w:sz w:val="20"/>
          <w:szCs w:val="20"/>
          <w:lang w:val="es-ES"/>
        </w:rPr>
      </w:pPr>
      <w:r>
        <w:rPr>
          <w:rFonts w:cs="Tahoma"/>
          <w:sz w:val="20"/>
          <w:szCs w:val="20"/>
          <w:lang w:val="es-ES"/>
        </w:rPr>
        <w:t xml:space="preserve">En pacientes con hipertensión arterial, insuficiencia cardíaca o cardiopatía isquémica, no parece que </w:t>
      </w:r>
      <w:r w:rsidR="006A1734">
        <w:rPr>
          <w:rFonts w:cs="Tahoma"/>
          <w:sz w:val="20"/>
          <w:szCs w:val="20"/>
          <w:lang w:val="es-ES"/>
        </w:rPr>
        <w:t xml:space="preserve">sea prioritario revisar </w:t>
      </w:r>
      <w:r>
        <w:rPr>
          <w:rFonts w:cs="Tahoma"/>
          <w:sz w:val="20"/>
          <w:szCs w:val="20"/>
          <w:lang w:val="es-ES"/>
        </w:rPr>
        <w:t>el tratamiento con alguno de estos fármacos.</w:t>
      </w:r>
    </w:p>
    <w:p w:rsidR="006A1734" w:rsidRPr="00AF274C" w:rsidRDefault="006A1734" w:rsidP="00612EAE">
      <w:pPr>
        <w:rPr>
          <w:rFonts w:cs="Tahoma"/>
          <w:sz w:val="20"/>
          <w:szCs w:val="20"/>
          <w:lang w:val="es-ES"/>
        </w:rPr>
      </w:pPr>
    </w:p>
    <w:p w:rsidR="00250862" w:rsidRPr="00AF274C" w:rsidRDefault="00250862" w:rsidP="00612EAE">
      <w:pPr>
        <w:rPr>
          <w:sz w:val="20"/>
          <w:szCs w:val="20"/>
          <w:lang w:val="es-ES"/>
        </w:rPr>
      </w:pPr>
    </w:p>
    <w:p w:rsidR="00C91ABB" w:rsidRPr="00AF274C" w:rsidRDefault="00FA2E86" w:rsidP="00C4716E">
      <w:pPr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¿Ibuprofeno o paracetamol par</w:t>
      </w:r>
      <w:r w:rsidR="0031654E" w:rsidRPr="00AF274C">
        <w:rPr>
          <w:b/>
          <w:sz w:val="20"/>
          <w:szCs w:val="20"/>
          <w:lang w:val="es-ES"/>
        </w:rPr>
        <w:t>a la f</w:t>
      </w:r>
      <w:r>
        <w:rPr>
          <w:b/>
          <w:sz w:val="20"/>
          <w:szCs w:val="20"/>
          <w:lang w:val="es-ES"/>
        </w:rPr>
        <w:t>i</w:t>
      </w:r>
      <w:r w:rsidR="0031654E" w:rsidRPr="00AF274C">
        <w:rPr>
          <w:b/>
          <w:sz w:val="20"/>
          <w:szCs w:val="20"/>
          <w:lang w:val="es-ES"/>
        </w:rPr>
        <w:t>ebre?</w:t>
      </w:r>
    </w:p>
    <w:p w:rsidR="0031654E" w:rsidRPr="00AF274C" w:rsidRDefault="0031654E" w:rsidP="00C4716E">
      <w:pPr>
        <w:rPr>
          <w:sz w:val="20"/>
          <w:szCs w:val="20"/>
          <w:lang w:val="es-ES"/>
        </w:rPr>
      </w:pPr>
    </w:p>
    <w:p w:rsidR="0031654E" w:rsidRPr="00AF274C" w:rsidRDefault="00581206" w:rsidP="00C4716E">
      <w:pPr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La</w:t>
      </w:r>
      <w:r w:rsidR="00944D87" w:rsidRPr="00AF274C">
        <w:rPr>
          <w:sz w:val="20"/>
          <w:szCs w:val="20"/>
          <w:lang w:val="es-ES"/>
        </w:rPr>
        <w:t>s complicacion</w:t>
      </w:r>
      <w:r>
        <w:rPr>
          <w:sz w:val="20"/>
          <w:szCs w:val="20"/>
          <w:lang w:val="es-ES"/>
        </w:rPr>
        <w:t>e</w:t>
      </w:r>
      <w:r w:rsidR="00944D87" w:rsidRPr="00AF274C">
        <w:rPr>
          <w:sz w:val="20"/>
          <w:szCs w:val="20"/>
          <w:lang w:val="es-ES"/>
        </w:rPr>
        <w:t xml:space="preserve">s </w:t>
      </w:r>
      <w:r w:rsidR="0008726F">
        <w:rPr>
          <w:sz w:val="20"/>
          <w:szCs w:val="20"/>
          <w:lang w:val="es-ES"/>
        </w:rPr>
        <w:t>respiratorias</w:t>
      </w:r>
      <w:r>
        <w:rPr>
          <w:sz w:val="20"/>
          <w:szCs w:val="20"/>
          <w:lang w:val="es-ES"/>
        </w:rPr>
        <w:t>, sépticas y</w:t>
      </w:r>
      <w:r w:rsidR="00944D87" w:rsidRPr="00AF274C">
        <w:rPr>
          <w:sz w:val="20"/>
          <w:szCs w:val="20"/>
          <w:lang w:val="es-ES"/>
        </w:rPr>
        <w:t xml:space="preserve"> cardiovascular</w:t>
      </w:r>
      <w:r w:rsidR="00FA2E86">
        <w:rPr>
          <w:sz w:val="20"/>
          <w:szCs w:val="20"/>
          <w:lang w:val="es-ES"/>
        </w:rPr>
        <w:t>e</w:t>
      </w:r>
      <w:r>
        <w:rPr>
          <w:sz w:val="20"/>
          <w:szCs w:val="20"/>
          <w:lang w:val="es-ES"/>
        </w:rPr>
        <w:t xml:space="preserve">s de </w:t>
      </w:r>
      <w:r w:rsidR="00944D87" w:rsidRPr="00AF274C">
        <w:rPr>
          <w:sz w:val="20"/>
          <w:szCs w:val="20"/>
          <w:lang w:val="es-ES"/>
        </w:rPr>
        <w:t>una infecció</w:t>
      </w:r>
      <w:r w:rsidR="00FA2E86">
        <w:rPr>
          <w:sz w:val="20"/>
          <w:szCs w:val="20"/>
          <w:lang w:val="es-ES"/>
        </w:rPr>
        <w:t>n</w:t>
      </w:r>
      <w:r w:rsidR="00944D87" w:rsidRPr="00AF274C">
        <w:rPr>
          <w:sz w:val="20"/>
          <w:szCs w:val="20"/>
          <w:lang w:val="es-ES"/>
        </w:rPr>
        <w:t xml:space="preserve"> respir</w:t>
      </w:r>
      <w:r>
        <w:rPr>
          <w:sz w:val="20"/>
          <w:szCs w:val="20"/>
          <w:lang w:val="es-ES"/>
        </w:rPr>
        <w:t>atoria poden ser más frecu</w:t>
      </w:r>
      <w:r w:rsidR="00FA2E86">
        <w:rPr>
          <w:sz w:val="20"/>
          <w:szCs w:val="20"/>
          <w:lang w:val="es-ES"/>
        </w:rPr>
        <w:t>ent</w:t>
      </w:r>
      <w:r>
        <w:rPr>
          <w:sz w:val="20"/>
          <w:szCs w:val="20"/>
          <w:lang w:val="es-ES"/>
        </w:rPr>
        <w:t>e</w:t>
      </w:r>
      <w:r w:rsidR="00FA2E86">
        <w:rPr>
          <w:sz w:val="20"/>
          <w:szCs w:val="20"/>
          <w:lang w:val="es-ES"/>
        </w:rPr>
        <w:t>s c</w:t>
      </w:r>
      <w:r w:rsidR="00944D87" w:rsidRPr="00AF274C">
        <w:rPr>
          <w:sz w:val="20"/>
          <w:szCs w:val="20"/>
          <w:lang w:val="es-ES"/>
        </w:rPr>
        <w:t>uan</w:t>
      </w:r>
      <w:r w:rsidR="00FA2E86">
        <w:rPr>
          <w:sz w:val="20"/>
          <w:szCs w:val="20"/>
          <w:lang w:val="es-ES"/>
        </w:rPr>
        <w:t>do</w:t>
      </w:r>
      <w:r w:rsidR="006A1734">
        <w:rPr>
          <w:sz w:val="20"/>
          <w:szCs w:val="20"/>
          <w:lang w:val="es-ES"/>
        </w:rPr>
        <w:t xml:space="preserve"> se</w:t>
      </w:r>
      <w:r w:rsidR="00944D87" w:rsidRPr="00AF274C">
        <w:rPr>
          <w:sz w:val="20"/>
          <w:szCs w:val="20"/>
          <w:lang w:val="es-ES"/>
        </w:rPr>
        <w:t xml:space="preserve"> </w:t>
      </w:r>
      <w:r w:rsidR="00FA2E86">
        <w:rPr>
          <w:sz w:val="20"/>
          <w:szCs w:val="20"/>
          <w:lang w:val="es-ES"/>
        </w:rPr>
        <w:t>consume</w:t>
      </w:r>
      <w:r w:rsidR="00944D87" w:rsidRPr="00AF274C">
        <w:rPr>
          <w:sz w:val="20"/>
          <w:szCs w:val="20"/>
          <w:lang w:val="es-ES"/>
        </w:rPr>
        <w:t xml:space="preserve"> un antiinflamatori</w:t>
      </w:r>
      <w:r>
        <w:rPr>
          <w:sz w:val="20"/>
          <w:szCs w:val="20"/>
          <w:lang w:val="es-ES"/>
        </w:rPr>
        <w:t>o</w:t>
      </w:r>
      <w:r w:rsidR="0031654E" w:rsidRPr="00AF274C">
        <w:rPr>
          <w:sz w:val="20"/>
          <w:szCs w:val="20"/>
          <w:lang w:val="es-ES"/>
        </w:rPr>
        <w:t xml:space="preserve"> no estero</w:t>
      </w:r>
      <w:r w:rsidR="006A1734">
        <w:rPr>
          <w:sz w:val="20"/>
          <w:szCs w:val="20"/>
          <w:lang w:val="es-ES"/>
        </w:rPr>
        <w:t>ide (AINE)</w:t>
      </w:r>
      <w:r w:rsidR="0031654E" w:rsidRPr="00AF274C">
        <w:rPr>
          <w:sz w:val="20"/>
          <w:szCs w:val="20"/>
          <w:lang w:val="es-ES"/>
        </w:rPr>
        <w:t xml:space="preserve">. En </w:t>
      </w:r>
      <w:r w:rsidR="00AF274C">
        <w:rPr>
          <w:sz w:val="20"/>
          <w:szCs w:val="20"/>
          <w:lang w:val="es-ES"/>
        </w:rPr>
        <w:t>varios</w:t>
      </w:r>
      <w:r w:rsidR="0031654E" w:rsidRPr="00AF274C">
        <w:rPr>
          <w:sz w:val="20"/>
          <w:szCs w:val="20"/>
          <w:lang w:val="es-ES"/>
        </w:rPr>
        <w:t xml:space="preserve"> </w:t>
      </w:r>
      <w:r w:rsidR="00AF274C">
        <w:rPr>
          <w:sz w:val="20"/>
          <w:szCs w:val="20"/>
          <w:lang w:val="es-ES"/>
        </w:rPr>
        <w:t>estudio</w:t>
      </w:r>
      <w:r w:rsidR="0031654E" w:rsidRPr="00AF274C">
        <w:rPr>
          <w:sz w:val="20"/>
          <w:szCs w:val="20"/>
          <w:lang w:val="es-ES"/>
        </w:rPr>
        <w:t>s</w:t>
      </w:r>
      <w:r w:rsidR="00FA2E86">
        <w:rPr>
          <w:sz w:val="20"/>
          <w:szCs w:val="20"/>
          <w:lang w:val="es-ES"/>
        </w:rPr>
        <w:t xml:space="preserve">, incluidos como </w:t>
      </w:r>
      <w:r w:rsidR="00944D87" w:rsidRPr="00AF274C">
        <w:rPr>
          <w:sz w:val="20"/>
          <w:szCs w:val="20"/>
          <w:lang w:val="es-ES"/>
        </w:rPr>
        <w:t>mínim</w:t>
      </w:r>
      <w:r w:rsidR="00FA2E86">
        <w:rPr>
          <w:sz w:val="20"/>
          <w:szCs w:val="20"/>
          <w:lang w:val="es-ES"/>
        </w:rPr>
        <w:t>o</w:t>
      </w:r>
      <w:r w:rsidR="00944D87" w:rsidRPr="00AF274C">
        <w:rPr>
          <w:sz w:val="20"/>
          <w:szCs w:val="20"/>
          <w:lang w:val="es-ES"/>
        </w:rPr>
        <w:t xml:space="preserve"> dos </w:t>
      </w:r>
      <w:r w:rsidR="00AF274C">
        <w:rPr>
          <w:sz w:val="20"/>
          <w:szCs w:val="20"/>
          <w:lang w:val="es-ES"/>
        </w:rPr>
        <w:t>ensayos</w:t>
      </w:r>
      <w:r w:rsidR="00944D87" w:rsidRPr="00AF274C">
        <w:rPr>
          <w:sz w:val="20"/>
          <w:szCs w:val="20"/>
          <w:lang w:val="es-ES"/>
        </w:rPr>
        <w:t xml:space="preserve"> clínic</w:t>
      </w:r>
      <w:r>
        <w:rPr>
          <w:sz w:val="20"/>
          <w:szCs w:val="20"/>
          <w:lang w:val="es-ES"/>
        </w:rPr>
        <w:t>o</w:t>
      </w:r>
      <w:r w:rsidR="00944D87" w:rsidRPr="00AF274C">
        <w:rPr>
          <w:sz w:val="20"/>
          <w:szCs w:val="20"/>
          <w:lang w:val="es-ES"/>
        </w:rPr>
        <w:t>s,</w:t>
      </w:r>
      <w:r w:rsidR="0031654E" w:rsidRPr="00AF274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y en alguno</w:t>
      </w:r>
      <w:r w:rsidR="00944D87" w:rsidRPr="00AF274C">
        <w:rPr>
          <w:sz w:val="20"/>
          <w:szCs w:val="20"/>
          <w:lang w:val="es-ES"/>
        </w:rPr>
        <w:t xml:space="preserve">s </w:t>
      </w:r>
      <w:r w:rsidR="00AF274C">
        <w:rPr>
          <w:sz w:val="20"/>
          <w:szCs w:val="20"/>
          <w:lang w:val="es-ES"/>
        </w:rPr>
        <w:t>estudio</w:t>
      </w:r>
      <w:r w:rsidR="00944D87" w:rsidRPr="00AF274C">
        <w:rPr>
          <w:sz w:val="20"/>
          <w:szCs w:val="20"/>
          <w:lang w:val="es-ES"/>
        </w:rPr>
        <w:t>s observacional</w:t>
      </w:r>
      <w:r>
        <w:rPr>
          <w:sz w:val="20"/>
          <w:szCs w:val="20"/>
          <w:lang w:val="es-ES"/>
        </w:rPr>
        <w:t>es</w:t>
      </w:r>
      <w:r w:rsidR="006A1734">
        <w:rPr>
          <w:sz w:val="20"/>
          <w:szCs w:val="20"/>
          <w:lang w:val="es-ES"/>
        </w:rPr>
        <w:t>,</w:t>
      </w:r>
      <w:r w:rsidR="00944D87" w:rsidRPr="00AF274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>se ha registrado</w:t>
      </w:r>
      <w:r w:rsidR="0031654E" w:rsidRPr="00AF274C">
        <w:rPr>
          <w:sz w:val="20"/>
          <w:szCs w:val="20"/>
          <w:lang w:val="es-ES"/>
        </w:rPr>
        <w:t xml:space="preserve"> un</w:t>
      </w:r>
      <w:r w:rsidR="007B74F0" w:rsidRPr="00AF274C">
        <w:rPr>
          <w:sz w:val="20"/>
          <w:szCs w:val="20"/>
          <w:lang w:val="es-ES"/>
        </w:rPr>
        <w:t xml:space="preserve">a </w:t>
      </w:r>
      <w:r w:rsidR="00AF274C">
        <w:rPr>
          <w:sz w:val="20"/>
          <w:szCs w:val="20"/>
          <w:lang w:val="es-ES"/>
        </w:rPr>
        <w:t>incidencia</w:t>
      </w:r>
      <w:r>
        <w:rPr>
          <w:sz w:val="20"/>
          <w:szCs w:val="20"/>
          <w:lang w:val="es-ES"/>
        </w:rPr>
        <w:t xml:space="preserve"> más alta y</w:t>
      </w:r>
      <w:r w:rsidR="007B74F0" w:rsidRPr="00AF274C">
        <w:rPr>
          <w:sz w:val="20"/>
          <w:szCs w:val="20"/>
          <w:lang w:val="es-ES"/>
        </w:rPr>
        <w:t xml:space="preserve"> un</w:t>
      </w:r>
      <w:r w:rsidR="0031654E" w:rsidRPr="00AF274C">
        <w:rPr>
          <w:sz w:val="20"/>
          <w:szCs w:val="20"/>
          <w:lang w:val="es-ES"/>
        </w:rPr>
        <w:t xml:space="preserve"> </w:t>
      </w:r>
      <w:r w:rsidR="00AF274C">
        <w:rPr>
          <w:sz w:val="20"/>
          <w:szCs w:val="20"/>
          <w:lang w:val="es-ES"/>
        </w:rPr>
        <w:t>riesgo</w:t>
      </w:r>
      <w:r w:rsidR="0031654E" w:rsidRPr="00AF274C">
        <w:rPr>
          <w:sz w:val="20"/>
          <w:szCs w:val="20"/>
          <w:lang w:val="es-ES"/>
        </w:rPr>
        <w:t xml:space="preserve"> m</w:t>
      </w:r>
      <w:r>
        <w:rPr>
          <w:sz w:val="20"/>
          <w:szCs w:val="20"/>
          <w:lang w:val="es-ES"/>
        </w:rPr>
        <w:t>á</w:t>
      </w:r>
      <w:r w:rsidR="007B74F0" w:rsidRPr="00AF274C">
        <w:rPr>
          <w:sz w:val="20"/>
          <w:szCs w:val="20"/>
          <w:lang w:val="es-ES"/>
        </w:rPr>
        <w:t>s alt</w:t>
      </w:r>
      <w:r>
        <w:rPr>
          <w:sz w:val="20"/>
          <w:szCs w:val="20"/>
          <w:lang w:val="es-ES"/>
        </w:rPr>
        <w:t>o</w:t>
      </w:r>
      <w:r w:rsidR="0031654E" w:rsidRPr="00AF274C">
        <w:rPr>
          <w:sz w:val="20"/>
          <w:szCs w:val="20"/>
          <w:lang w:val="es-ES"/>
        </w:rPr>
        <w:t xml:space="preserve"> de complicacion</w:t>
      </w:r>
      <w:r w:rsidR="00FA2E86">
        <w:rPr>
          <w:sz w:val="20"/>
          <w:szCs w:val="20"/>
          <w:lang w:val="es-ES"/>
        </w:rPr>
        <w:t>e</w:t>
      </w:r>
      <w:r w:rsidR="0031654E" w:rsidRPr="00AF274C">
        <w:rPr>
          <w:sz w:val="20"/>
          <w:szCs w:val="20"/>
          <w:lang w:val="es-ES"/>
        </w:rPr>
        <w:t xml:space="preserve">s de </w:t>
      </w:r>
      <w:r w:rsidR="00AF274C">
        <w:rPr>
          <w:sz w:val="20"/>
          <w:szCs w:val="20"/>
          <w:lang w:val="es-ES"/>
        </w:rPr>
        <w:t>enfermedades</w:t>
      </w:r>
      <w:r>
        <w:rPr>
          <w:sz w:val="20"/>
          <w:szCs w:val="20"/>
          <w:lang w:val="es-ES"/>
        </w:rPr>
        <w:t xml:space="preserve"> infecciosa</w:t>
      </w:r>
      <w:r w:rsidR="0031654E" w:rsidRPr="00AF274C">
        <w:rPr>
          <w:sz w:val="20"/>
          <w:szCs w:val="20"/>
          <w:lang w:val="es-ES"/>
        </w:rPr>
        <w:t>s</w:t>
      </w:r>
      <w:r w:rsidR="0013332D" w:rsidRPr="00AF274C">
        <w:rPr>
          <w:rStyle w:val="Refdenotaalfinal"/>
          <w:sz w:val="20"/>
          <w:szCs w:val="20"/>
          <w:lang w:val="es-ES"/>
        </w:rPr>
        <w:endnoteReference w:id="47"/>
      </w:r>
      <w:r w:rsidR="0013332D" w:rsidRPr="00AF274C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 xml:space="preserve"> (incluida</w:t>
      </w:r>
      <w:r w:rsidR="0031654E" w:rsidRPr="00AF274C">
        <w:rPr>
          <w:sz w:val="20"/>
          <w:szCs w:val="20"/>
          <w:lang w:val="es-ES"/>
        </w:rPr>
        <w:t xml:space="preserve"> la </w:t>
      </w:r>
      <w:r w:rsidR="00AF274C">
        <w:rPr>
          <w:sz w:val="20"/>
          <w:szCs w:val="20"/>
          <w:lang w:val="es-ES"/>
        </w:rPr>
        <w:t>neumonía</w:t>
      </w:r>
      <w:r w:rsidR="006A1734">
        <w:rPr>
          <w:sz w:val="20"/>
          <w:szCs w:val="20"/>
          <w:lang w:val="es-ES"/>
        </w:rPr>
        <w:t>, y</w:t>
      </w:r>
      <w:r w:rsidR="0031654E" w:rsidRPr="00AF274C">
        <w:rPr>
          <w:sz w:val="20"/>
          <w:szCs w:val="20"/>
          <w:lang w:val="es-ES"/>
        </w:rPr>
        <w:t xml:space="preserve"> tamb</w:t>
      </w:r>
      <w:r>
        <w:rPr>
          <w:sz w:val="20"/>
          <w:szCs w:val="20"/>
          <w:lang w:val="es-ES"/>
        </w:rPr>
        <w:t>i</w:t>
      </w:r>
      <w:r w:rsidR="007B74F0" w:rsidRPr="00AF274C">
        <w:rPr>
          <w:sz w:val="20"/>
          <w:szCs w:val="20"/>
          <w:lang w:val="es-ES"/>
        </w:rPr>
        <w:t>é</w:t>
      </w:r>
      <w:r>
        <w:rPr>
          <w:sz w:val="20"/>
          <w:szCs w:val="20"/>
          <w:lang w:val="es-ES"/>
        </w:rPr>
        <w:t>n</w:t>
      </w:r>
      <w:r w:rsidR="007B74F0" w:rsidRPr="00AF274C">
        <w:rPr>
          <w:sz w:val="20"/>
          <w:szCs w:val="20"/>
          <w:lang w:val="es-ES"/>
        </w:rPr>
        <w:t xml:space="preserve"> infeccion</w:t>
      </w:r>
      <w:r w:rsidR="00FA2E86">
        <w:rPr>
          <w:sz w:val="20"/>
          <w:szCs w:val="20"/>
          <w:lang w:val="es-ES"/>
        </w:rPr>
        <w:t>e</w:t>
      </w:r>
      <w:r w:rsidR="007B74F0" w:rsidRPr="00AF274C">
        <w:rPr>
          <w:sz w:val="20"/>
          <w:szCs w:val="20"/>
          <w:lang w:val="es-ES"/>
        </w:rPr>
        <w:t xml:space="preserve">s </w:t>
      </w:r>
      <w:r w:rsidR="0008726F">
        <w:rPr>
          <w:sz w:val="20"/>
          <w:szCs w:val="20"/>
          <w:lang w:val="es-ES"/>
        </w:rPr>
        <w:t>respiratorias</w:t>
      </w:r>
      <w:r>
        <w:rPr>
          <w:sz w:val="20"/>
          <w:szCs w:val="20"/>
          <w:lang w:val="es-ES"/>
        </w:rPr>
        <w:t xml:space="preserve"> alta</w:t>
      </w:r>
      <w:r w:rsidR="007B74F0" w:rsidRPr="00AF274C">
        <w:rPr>
          <w:sz w:val="20"/>
          <w:szCs w:val="20"/>
          <w:lang w:val="es-ES"/>
        </w:rPr>
        <w:t>s</w:t>
      </w:r>
      <w:r>
        <w:rPr>
          <w:sz w:val="20"/>
          <w:szCs w:val="20"/>
          <w:lang w:val="es-ES"/>
        </w:rPr>
        <w:t xml:space="preserve"> atribuidas a coronavirus y </w:t>
      </w:r>
      <w:r w:rsidR="006A1734">
        <w:rPr>
          <w:sz w:val="20"/>
          <w:szCs w:val="20"/>
          <w:lang w:val="es-ES"/>
        </w:rPr>
        <w:t xml:space="preserve">a </w:t>
      </w:r>
      <w:r>
        <w:rPr>
          <w:sz w:val="20"/>
          <w:szCs w:val="20"/>
          <w:lang w:val="es-ES"/>
        </w:rPr>
        <w:t>otro</w:t>
      </w:r>
      <w:r w:rsidR="0031654E" w:rsidRPr="00AF274C">
        <w:rPr>
          <w:sz w:val="20"/>
          <w:szCs w:val="20"/>
          <w:lang w:val="es-ES"/>
        </w:rPr>
        <w:t>s virus</w:t>
      </w:r>
      <w:r w:rsidR="00944D87" w:rsidRPr="00AF274C">
        <w:rPr>
          <w:rStyle w:val="Refdenotaalfinal"/>
          <w:sz w:val="20"/>
          <w:szCs w:val="20"/>
          <w:lang w:val="es-ES"/>
        </w:rPr>
        <w:endnoteReference w:id="48"/>
      </w:r>
      <w:r w:rsidR="007B74F0" w:rsidRPr="00AF274C">
        <w:rPr>
          <w:sz w:val="20"/>
          <w:szCs w:val="20"/>
          <w:lang w:val="es-ES"/>
        </w:rPr>
        <w:t>)</w:t>
      </w:r>
      <w:r w:rsidR="00944D87" w:rsidRPr="00AF274C">
        <w:rPr>
          <w:sz w:val="20"/>
          <w:szCs w:val="20"/>
          <w:lang w:val="es-ES"/>
        </w:rPr>
        <w:t>.</w:t>
      </w:r>
      <w:r w:rsidR="0031654E" w:rsidRPr="00AF274C">
        <w:rPr>
          <w:sz w:val="20"/>
          <w:szCs w:val="20"/>
          <w:lang w:val="es-ES"/>
        </w:rPr>
        <w:t xml:space="preserve"> </w:t>
      </w:r>
    </w:p>
    <w:p w:rsidR="00944D87" w:rsidRPr="00AF274C" w:rsidRDefault="00944D87" w:rsidP="00C4716E">
      <w:pPr>
        <w:rPr>
          <w:sz w:val="20"/>
          <w:szCs w:val="20"/>
          <w:lang w:val="es-ES"/>
        </w:rPr>
      </w:pPr>
    </w:p>
    <w:p w:rsidR="00944D87" w:rsidRPr="00AF274C" w:rsidRDefault="00581206" w:rsidP="00C4716E">
      <w:pPr>
        <w:rPr>
          <w:b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Dado que no disponemos de datos que indique</w:t>
      </w:r>
      <w:r w:rsidR="006A1734">
        <w:rPr>
          <w:sz w:val="20"/>
          <w:szCs w:val="20"/>
          <w:lang w:val="es-ES"/>
        </w:rPr>
        <w:t xml:space="preserve">n </w:t>
      </w:r>
      <w:r w:rsidR="00FF0046" w:rsidRPr="00AF274C">
        <w:rPr>
          <w:sz w:val="20"/>
          <w:szCs w:val="20"/>
          <w:lang w:val="es-ES"/>
        </w:rPr>
        <w:t>l</w:t>
      </w:r>
      <w:r w:rsidR="006A1734">
        <w:rPr>
          <w:sz w:val="20"/>
          <w:szCs w:val="20"/>
          <w:lang w:val="es-ES"/>
        </w:rPr>
        <w:t>o</w:t>
      </w:r>
      <w:r w:rsidR="00FF0046" w:rsidRPr="00AF274C">
        <w:rPr>
          <w:sz w:val="20"/>
          <w:szCs w:val="20"/>
          <w:lang w:val="es-ES"/>
        </w:rPr>
        <w:t xml:space="preserve"> contrari</w:t>
      </w:r>
      <w:r>
        <w:rPr>
          <w:sz w:val="20"/>
          <w:szCs w:val="20"/>
          <w:lang w:val="es-ES"/>
        </w:rPr>
        <w:t>o</w:t>
      </w:r>
      <w:r w:rsidR="00FF0046" w:rsidRPr="00AF274C">
        <w:rPr>
          <w:sz w:val="20"/>
          <w:szCs w:val="20"/>
          <w:lang w:val="es-ES"/>
        </w:rPr>
        <w:t>, en cas</w:t>
      </w:r>
      <w:r>
        <w:rPr>
          <w:sz w:val="20"/>
          <w:szCs w:val="20"/>
          <w:lang w:val="es-ES"/>
        </w:rPr>
        <w:t>o</w:t>
      </w:r>
      <w:r w:rsidR="00FF0046" w:rsidRPr="00AF274C">
        <w:rPr>
          <w:sz w:val="20"/>
          <w:szCs w:val="20"/>
          <w:lang w:val="es-ES"/>
        </w:rPr>
        <w:t xml:space="preserve"> de f</w:t>
      </w:r>
      <w:r>
        <w:rPr>
          <w:sz w:val="20"/>
          <w:szCs w:val="20"/>
          <w:lang w:val="es-ES"/>
        </w:rPr>
        <w:t>i</w:t>
      </w:r>
      <w:r w:rsidR="00FF0046" w:rsidRPr="00AF274C">
        <w:rPr>
          <w:sz w:val="20"/>
          <w:szCs w:val="20"/>
          <w:lang w:val="es-ES"/>
        </w:rPr>
        <w:t>ebre</w:t>
      </w:r>
      <w:r w:rsidR="00FF0046" w:rsidRPr="00AF274C">
        <w:rPr>
          <w:b/>
          <w:sz w:val="20"/>
          <w:szCs w:val="20"/>
          <w:lang w:val="es-ES"/>
        </w:rPr>
        <w:t xml:space="preserve"> r</w:t>
      </w:r>
      <w:r>
        <w:rPr>
          <w:b/>
          <w:sz w:val="20"/>
          <w:szCs w:val="20"/>
          <w:lang w:val="es-ES"/>
        </w:rPr>
        <w:t>ecomend</w:t>
      </w:r>
      <w:r w:rsidR="00FF0046" w:rsidRPr="00AF274C">
        <w:rPr>
          <w:b/>
          <w:sz w:val="20"/>
          <w:szCs w:val="20"/>
          <w:lang w:val="es-ES"/>
        </w:rPr>
        <w:t>ar paracetamol t</w:t>
      </w:r>
      <w:r w:rsidR="00FA2E86">
        <w:rPr>
          <w:b/>
          <w:sz w:val="20"/>
          <w:szCs w:val="20"/>
          <w:lang w:val="es-ES"/>
        </w:rPr>
        <w:t>iene menos probabilidades de resultar en complicaciones</w:t>
      </w:r>
      <w:r w:rsidR="00944D87" w:rsidRPr="00AF274C">
        <w:rPr>
          <w:b/>
          <w:sz w:val="20"/>
          <w:szCs w:val="20"/>
          <w:lang w:val="es-ES"/>
        </w:rPr>
        <w:t>.</w:t>
      </w:r>
    </w:p>
    <w:p w:rsidR="0031654E" w:rsidRPr="00AF274C" w:rsidRDefault="0031654E" w:rsidP="00C4716E">
      <w:pPr>
        <w:rPr>
          <w:sz w:val="20"/>
          <w:szCs w:val="20"/>
          <w:lang w:val="es-ES"/>
        </w:rPr>
      </w:pPr>
    </w:p>
    <w:p w:rsidR="00D7726F" w:rsidRPr="00AF274C" w:rsidRDefault="00D7726F" w:rsidP="00C91ABB">
      <w:pPr>
        <w:rPr>
          <w:sz w:val="20"/>
          <w:szCs w:val="20"/>
          <w:lang w:val="es-ES"/>
        </w:rPr>
      </w:pPr>
    </w:p>
    <w:p w:rsidR="00C91ABB" w:rsidRPr="00AF274C" w:rsidRDefault="00C91ABB" w:rsidP="00C91ABB">
      <w:pPr>
        <w:rPr>
          <w:b/>
          <w:sz w:val="20"/>
          <w:szCs w:val="20"/>
          <w:lang w:val="es-ES"/>
        </w:rPr>
      </w:pPr>
      <w:r w:rsidRPr="00AF274C">
        <w:rPr>
          <w:b/>
          <w:sz w:val="20"/>
          <w:szCs w:val="20"/>
          <w:lang w:val="es-ES"/>
        </w:rPr>
        <w:t>Conclusion</w:t>
      </w:r>
      <w:r w:rsidR="00581206">
        <w:rPr>
          <w:b/>
          <w:sz w:val="20"/>
          <w:szCs w:val="20"/>
          <w:lang w:val="es-ES"/>
        </w:rPr>
        <w:t>e</w:t>
      </w:r>
      <w:r w:rsidRPr="00AF274C">
        <w:rPr>
          <w:b/>
          <w:sz w:val="20"/>
          <w:szCs w:val="20"/>
          <w:lang w:val="es-ES"/>
        </w:rPr>
        <w:t>s</w:t>
      </w:r>
    </w:p>
    <w:p w:rsidR="00C91ABB" w:rsidRPr="00AF274C" w:rsidRDefault="00C91ABB" w:rsidP="00C91ABB">
      <w:pPr>
        <w:rPr>
          <w:sz w:val="20"/>
          <w:szCs w:val="20"/>
          <w:lang w:val="es-ES"/>
        </w:rPr>
      </w:pPr>
    </w:p>
    <w:p w:rsidR="00C91ABB" w:rsidRPr="00AF274C" w:rsidRDefault="00581206" w:rsidP="00FF0046">
      <w:pPr>
        <w:pStyle w:val="Prrafodelista"/>
        <w:numPr>
          <w:ilvl w:val="0"/>
          <w:numId w:val="5"/>
        </w:numPr>
        <w:ind w:left="284" w:hanging="284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Muchas persona</w:t>
      </w:r>
      <w:r w:rsidR="00C91ABB" w:rsidRPr="00AF274C">
        <w:rPr>
          <w:sz w:val="20"/>
          <w:szCs w:val="20"/>
          <w:lang w:val="es-ES"/>
        </w:rPr>
        <w:t>s, sobre</w:t>
      </w:r>
      <w:r>
        <w:rPr>
          <w:sz w:val="20"/>
          <w:szCs w:val="20"/>
          <w:lang w:val="es-ES"/>
        </w:rPr>
        <w:t xml:space="preserve"> todo de edad avanzada</w:t>
      </w:r>
      <w:r w:rsidR="00C91ABB" w:rsidRPr="00AF274C">
        <w:rPr>
          <w:sz w:val="20"/>
          <w:szCs w:val="20"/>
          <w:lang w:val="es-ES"/>
        </w:rPr>
        <w:t>, re</w:t>
      </w:r>
      <w:r>
        <w:rPr>
          <w:sz w:val="20"/>
          <w:szCs w:val="20"/>
          <w:lang w:val="es-ES"/>
        </w:rPr>
        <w:t>ci</w:t>
      </w:r>
      <w:r w:rsidR="00C91ABB" w:rsidRPr="00AF274C">
        <w:rPr>
          <w:sz w:val="20"/>
          <w:szCs w:val="20"/>
          <w:lang w:val="es-ES"/>
        </w:rPr>
        <w:t xml:space="preserve">ben </w:t>
      </w:r>
      <w:r w:rsidR="00AF274C">
        <w:rPr>
          <w:sz w:val="20"/>
          <w:szCs w:val="20"/>
          <w:lang w:val="es-ES"/>
        </w:rPr>
        <w:t>medicamentos</w:t>
      </w:r>
      <w:r w:rsidR="00C91ABB" w:rsidRPr="00AF274C">
        <w:rPr>
          <w:sz w:val="20"/>
          <w:szCs w:val="20"/>
          <w:lang w:val="es-ES"/>
        </w:rPr>
        <w:t xml:space="preserve"> </w:t>
      </w:r>
      <w:r w:rsidR="00AF274C">
        <w:rPr>
          <w:sz w:val="20"/>
          <w:szCs w:val="20"/>
          <w:lang w:val="es-ES"/>
        </w:rPr>
        <w:t>innecesario</w:t>
      </w:r>
      <w:r>
        <w:rPr>
          <w:sz w:val="20"/>
          <w:szCs w:val="20"/>
          <w:lang w:val="es-ES"/>
        </w:rPr>
        <w:t>s, inefectivo</w:t>
      </w:r>
      <w:r w:rsidR="00C91ABB" w:rsidRPr="00AF274C">
        <w:rPr>
          <w:sz w:val="20"/>
          <w:szCs w:val="20"/>
          <w:lang w:val="es-ES"/>
        </w:rPr>
        <w:t>s o</w:t>
      </w:r>
      <w:r>
        <w:rPr>
          <w:sz w:val="20"/>
          <w:szCs w:val="20"/>
          <w:lang w:val="es-ES"/>
        </w:rPr>
        <w:t xml:space="preserve"> en indicaciones no autorizadas, que favorecen la </w:t>
      </w:r>
      <w:r w:rsidR="00ED46C8" w:rsidRPr="00AF274C">
        <w:rPr>
          <w:sz w:val="20"/>
          <w:szCs w:val="20"/>
          <w:lang w:val="es-ES"/>
        </w:rPr>
        <w:t>aparició</w:t>
      </w:r>
      <w:r>
        <w:rPr>
          <w:sz w:val="20"/>
          <w:szCs w:val="20"/>
          <w:lang w:val="es-ES"/>
        </w:rPr>
        <w:t>n</w:t>
      </w:r>
      <w:r w:rsidR="00ED46C8" w:rsidRPr="00AF274C">
        <w:rPr>
          <w:sz w:val="20"/>
          <w:szCs w:val="20"/>
          <w:lang w:val="es-ES"/>
        </w:rPr>
        <w:t xml:space="preserve"> de </w:t>
      </w:r>
      <w:r w:rsidR="00AF274C">
        <w:rPr>
          <w:sz w:val="20"/>
          <w:szCs w:val="20"/>
          <w:lang w:val="es-ES"/>
        </w:rPr>
        <w:t>neumonía</w:t>
      </w:r>
      <w:r w:rsidR="00ED46C8" w:rsidRPr="00AF274C">
        <w:rPr>
          <w:sz w:val="20"/>
          <w:szCs w:val="20"/>
          <w:lang w:val="es-ES"/>
        </w:rPr>
        <w:t xml:space="preserve"> (vírica o bacteriana).</w:t>
      </w:r>
    </w:p>
    <w:p w:rsidR="00C4716E" w:rsidRPr="00AF274C" w:rsidRDefault="00C4716E" w:rsidP="00FF0046">
      <w:pPr>
        <w:ind w:left="284" w:hanging="284"/>
        <w:rPr>
          <w:sz w:val="20"/>
          <w:szCs w:val="20"/>
          <w:lang w:val="es-ES"/>
        </w:rPr>
      </w:pPr>
    </w:p>
    <w:p w:rsidR="00ED46C8" w:rsidRPr="00AF274C" w:rsidRDefault="00C4716E" w:rsidP="00FF0046">
      <w:pPr>
        <w:pStyle w:val="Prrafodelista"/>
        <w:numPr>
          <w:ilvl w:val="0"/>
          <w:numId w:val="5"/>
        </w:numPr>
        <w:ind w:left="284" w:hanging="284"/>
        <w:rPr>
          <w:sz w:val="20"/>
          <w:szCs w:val="20"/>
          <w:lang w:val="es-ES"/>
        </w:rPr>
      </w:pPr>
      <w:r w:rsidRPr="00AF274C">
        <w:rPr>
          <w:sz w:val="20"/>
          <w:szCs w:val="20"/>
          <w:lang w:val="es-ES"/>
        </w:rPr>
        <w:t>En una situació</w:t>
      </w:r>
      <w:r w:rsidR="0008726F">
        <w:rPr>
          <w:sz w:val="20"/>
          <w:szCs w:val="20"/>
          <w:lang w:val="es-ES"/>
        </w:rPr>
        <w:t>n</w:t>
      </w:r>
      <w:r w:rsidR="00581206">
        <w:rPr>
          <w:sz w:val="20"/>
          <w:szCs w:val="20"/>
          <w:lang w:val="es-ES"/>
        </w:rPr>
        <w:t xml:space="preserve"> como la actual, es urgent</w:t>
      </w:r>
      <w:r w:rsidR="0008726F">
        <w:rPr>
          <w:sz w:val="20"/>
          <w:szCs w:val="20"/>
          <w:lang w:val="es-ES"/>
        </w:rPr>
        <w:t>e</w:t>
      </w:r>
      <w:r w:rsidR="00581206">
        <w:rPr>
          <w:sz w:val="20"/>
          <w:szCs w:val="20"/>
          <w:lang w:val="es-ES"/>
        </w:rPr>
        <w:t xml:space="preserve"> </w:t>
      </w:r>
      <w:r w:rsidR="006A1734">
        <w:rPr>
          <w:sz w:val="20"/>
          <w:szCs w:val="20"/>
          <w:lang w:val="es-ES"/>
        </w:rPr>
        <w:t>revisar y</w:t>
      </w:r>
      <w:r w:rsidR="0008726F">
        <w:rPr>
          <w:sz w:val="20"/>
          <w:szCs w:val="20"/>
          <w:lang w:val="es-ES"/>
        </w:rPr>
        <w:t xml:space="preserve"> detene</w:t>
      </w:r>
      <w:r w:rsidR="00581206">
        <w:rPr>
          <w:sz w:val="20"/>
          <w:szCs w:val="20"/>
          <w:lang w:val="es-ES"/>
        </w:rPr>
        <w:t xml:space="preserve">r </w:t>
      </w:r>
      <w:r w:rsidRPr="00AF274C">
        <w:rPr>
          <w:sz w:val="20"/>
          <w:szCs w:val="20"/>
          <w:lang w:val="es-ES"/>
        </w:rPr>
        <w:t>l</w:t>
      </w:r>
      <w:r w:rsidR="00581206">
        <w:rPr>
          <w:sz w:val="20"/>
          <w:szCs w:val="20"/>
          <w:lang w:val="es-ES"/>
        </w:rPr>
        <w:t>o</w:t>
      </w:r>
      <w:r w:rsidRPr="00AF274C">
        <w:rPr>
          <w:sz w:val="20"/>
          <w:szCs w:val="20"/>
          <w:lang w:val="es-ES"/>
        </w:rPr>
        <w:t xml:space="preserve">s </w:t>
      </w:r>
      <w:r w:rsidR="00AF274C">
        <w:rPr>
          <w:sz w:val="20"/>
          <w:szCs w:val="20"/>
          <w:lang w:val="es-ES"/>
        </w:rPr>
        <w:t>tratamiento</w:t>
      </w:r>
      <w:r w:rsidRPr="00AF274C">
        <w:rPr>
          <w:sz w:val="20"/>
          <w:szCs w:val="20"/>
          <w:lang w:val="es-ES"/>
        </w:rPr>
        <w:t xml:space="preserve">s </w:t>
      </w:r>
      <w:r w:rsidR="00AF274C">
        <w:rPr>
          <w:sz w:val="20"/>
          <w:szCs w:val="20"/>
          <w:lang w:val="es-ES"/>
        </w:rPr>
        <w:t>innecesario</w:t>
      </w:r>
      <w:r w:rsidR="00581206">
        <w:rPr>
          <w:sz w:val="20"/>
          <w:szCs w:val="20"/>
          <w:lang w:val="es-ES"/>
        </w:rPr>
        <w:t>s y lesivo</w:t>
      </w:r>
      <w:r w:rsidRPr="00AF274C">
        <w:rPr>
          <w:sz w:val="20"/>
          <w:szCs w:val="20"/>
          <w:lang w:val="es-ES"/>
        </w:rPr>
        <w:t>s.</w:t>
      </w:r>
    </w:p>
    <w:p w:rsidR="00C4716E" w:rsidRPr="00AF274C" w:rsidRDefault="00C4716E" w:rsidP="00FF0046">
      <w:pPr>
        <w:ind w:left="284" w:hanging="284"/>
        <w:rPr>
          <w:sz w:val="20"/>
          <w:szCs w:val="20"/>
          <w:lang w:val="es-ES"/>
        </w:rPr>
      </w:pPr>
    </w:p>
    <w:p w:rsidR="00C4716E" w:rsidRPr="00AF274C" w:rsidRDefault="00581206" w:rsidP="00FF0046">
      <w:pPr>
        <w:pStyle w:val="Prrafodelista"/>
        <w:numPr>
          <w:ilvl w:val="0"/>
          <w:numId w:val="5"/>
        </w:numPr>
        <w:ind w:left="284" w:hanging="284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</w:t>
      </w:r>
      <w:r w:rsidR="00C4716E" w:rsidRPr="00AF274C">
        <w:rPr>
          <w:sz w:val="20"/>
          <w:szCs w:val="20"/>
          <w:lang w:val="es-ES"/>
        </w:rPr>
        <w:t>s particularment</w:t>
      </w:r>
      <w:r w:rsidR="0008726F">
        <w:rPr>
          <w:sz w:val="20"/>
          <w:szCs w:val="20"/>
          <w:lang w:val="es-ES"/>
        </w:rPr>
        <w:t>e</w:t>
      </w:r>
      <w:r w:rsidR="00C4716E" w:rsidRPr="00AF274C">
        <w:rPr>
          <w:sz w:val="20"/>
          <w:szCs w:val="20"/>
          <w:lang w:val="es-ES"/>
        </w:rPr>
        <w:t xml:space="preserve"> urgent</w:t>
      </w:r>
      <w:r w:rsidR="0008726F">
        <w:rPr>
          <w:sz w:val="20"/>
          <w:szCs w:val="20"/>
          <w:lang w:val="es-ES"/>
        </w:rPr>
        <w:t>e</w:t>
      </w:r>
      <w:r w:rsidR="00C4716E" w:rsidRPr="00AF274C">
        <w:rPr>
          <w:sz w:val="20"/>
          <w:szCs w:val="20"/>
          <w:lang w:val="es-ES"/>
        </w:rPr>
        <w:t xml:space="preserve"> revisar la prescripció</w:t>
      </w:r>
      <w:r>
        <w:rPr>
          <w:sz w:val="20"/>
          <w:szCs w:val="20"/>
          <w:lang w:val="es-ES"/>
        </w:rPr>
        <w:t>n</w:t>
      </w:r>
      <w:r w:rsidR="00C4716E" w:rsidRPr="00AF274C">
        <w:rPr>
          <w:sz w:val="20"/>
          <w:szCs w:val="20"/>
          <w:lang w:val="es-ES"/>
        </w:rPr>
        <w:t xml:space="preserve"> de </w:t>
      </w:r>
      <w:r>
        <w:rPr>
          <w:sz w:val="20"/>
          <w:szCs w:val="20"/>
          <w:lang w:val="es-ES"/>
        </w:rPr>
        <w:t>psico</w:t>
      </w:r>
      <w:r w:rsidR="00B9771E">
        <w:rPr>
          <w:sz w:val="20"/>
          <w:szCs w:val="20"/>
          <w:lang w:val="es-ES"/>
        </w:rPr>
        <w:t>fármacos</w:t>
      </w:r>
      <w:r>
        <w:rPr>
          <w:sz w:val="20"/>
          <w:szCs w:val="20"/>
          <w:lang w:val="es-ES"/>
        </w:rPr>
        <w:t xml:space="preserve"> (sobre todo</w:t>
      </w:r>
      <w:r w:rsidR="00C4716E" w:rsidRPr="00AF274C">
        <w:rPr>
          <w:sz w:val="20"/>
          <w:szCs w:val="20"/>
          <w:lang w:val="es-ES"/>
        </w:rPr>
        <w:t xml:space="preserve"> </w:t>
      </w:r>
      <w:r w:rsidR="00AF274C">
        <w:rPr>
          <w:sz w:val="20"/>
          <w:szCs w:val="20"/>
          <w:lang w:val="es-ES"/>
        </w:rPr>
        <w:t>antipsicóticos</w:t>
      </w:r>
      <w:r w:rsidR="00C4716E" w:rsidRPr="00AF274C">
        <w:rPr>
          <w:sz w:val="20"/>
          <w:szCs w:val="20"/>
          <w:lang w:val="es-ES"/>
        </w:rPr>
        <w:t xml:space="preserve">), </w:t>
      </w:r>
      <w:r w:rsidR="006A1734">
        <w:rPr>
          <w:sz w:val="20"/>
          <w:szCs w:val="20"/>
          <w:lang w:val="es-ES"/>
        </w:rPr>
        <w:t>f</w:t>
      </w:r>
      <w:r w:rsidR="00B9771E">
        <w:rPr>
          <w:sz w:val="20"/>
          <w:szCs w:val="20"/>
          <w:lang w:val="es-ES"/>
        </w:rPr>
        <w:t>ármacos</w:t>
      </w:r>
      <w:r w:rsidR="00C4716E" w:rsidRPr="00AF274C">
        <w:rPr>
          <w:sz w:val="20"/>
          <w:szCs w:val="20"/>
          <w:lang w:val="es-ES"/>
        </w:rPr>
        <w:t xml:space="preserve"> </w:t>
      </w:r>
      <w:r w:rsidR="006A1734">
        <w:rPr>
          <w:sz w:val="20"/>
          <w:szCs w:val="20"/>
          <w:lang w:val="es-ES"/>
        </w:rPr>
        <w:t xml:space="preserve">anticolinérgicos y </w:t>
      </w:r>
      <w:r>
        <w:rPr>
          <w:sz w:val="20"/>
          <w:szCs w:val="20"/>
          <w:lang w:val="es-ES"/>
        </w:rPr>
        <w:t>analgésicos opiáceos per ví</w:t>
      </w:r>
      <w:r w:rsidR="00C4716E" w:rsidRPr="00AF274C">
        <w:rPr>
          <w:sz w:val="20"/>
          <w:szCs w:val="20"/>
          <w:lang w:val="es-ES"/>
        </w:rPr>
        <w:t>a general.</w:t>
      </w:r>
    </w:p>
    <w:p w:rsidR="00F32746" w:rsidRPr="00AF274C" w:rsidRDefault="00F32746" w:rsidP="00FF0046">
      <w:pPr>
        <w:ind w:left="284" w:hanging="284"/>
        <w:rPr>
          <w:sz w:val="20"/>
          <w:szCs w:val="20"/>
          <w:lang w:val="es-ES"/>
        </w:rPr>
      </w:pPr>
    </w:p>
    <w:p w:rsidR="00370185" w:rsidRPr="00AF274C" w:rsidRDefault="00581206" w:rsidP="00FF0046">
      <w:pPr>
        <w:pStyle w:val="Prrafodelista"/>
        <w:numPr>
          <w:ilvl w:val="0"/>
          <w:numId w:val="5"/>
        </w:numPr>
        <w:ind w:left="284" w:hanging="284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</w:t>
      </w:r>
      <w:r w:rsidR="00370185" w:rsidRPr="00AF274C">
        <w:rPr>
          <w:sz w:val="20"/>
          <w:szCs w:val="20"/>
          <w:lang w:val="es-ES"/>
        </w:rPr>
        <w:t>s especialment</w:t>
      </w:r>
      <w:r>
        <w:rPr>
          <w:sz w:val="20"/>
          <w:szCs w:val="20"/>
          <w:lang w:val="es-ES"/>
        </w:rPr>
        <w:t>e</w:t>
      </w:r>
      <w:r w:rsidR="00370185" w:rsidRPr="00AF274C">
        <w:rPr>
          <w:sz w:val="20"/>
          <w:szCs w:val="20"/>
          <w:lang w:val="es-ES"/>
        </w:rPr>
        <w:t xml:space="preserve"> important</w:t>
      </w:r>
      <w:r>
        <w:rPr>
          <w:sz w:val="20"/>
          <w:szCs w:val="20"/>
          <w:lang w:val="es-ES"/>
        </w:rPr>
        <w:t>e</w:t>
      </w:r>
      <w:r w:rsidR="00370185" w:rsidRPr="00AF274C">
        <w:rPr>
          <w:sz w:val="20"/>
          <w:szCs w:val="20"/>
          <w:lang w:val="es-ES"/>
        </w:rPr>
        <w:t xml:space="preserve"> revisar les medicacion</w:t>
      </w:r>
      <w:r>
        <w:rPr>
          <w:sz w:val="20"/>
          <w:szCs w:val="20"/>
          <w:lang w:val="es-ES"/>
        </w:rPr>
        <w:t>es  en los centros socio</w:t>
      </w:r>
      <w:r w:rsidR="00370185" w:rsidRPr="00AF274C">
        <w:rPr>
          <w:sz w:val="20"/>
          <w:szCs w:val="20"/>
          <w:lang w:val="es-ES"/>
        </w:rPr>
        <w:t>sanitari</w:t>
      </w:r>
      <w:r>
        <w:rPr>
          <w:sz w:val="20"/>
          <w:szCs w:val="20"/>
          <w:lang w:val="es-ES"/>
        </w:rPr>
        <w:t>o</w:t>
      </w:r>
      <w:r w:rsidR="00370185" w:rsidRPr="00AF274C">
        <w:rPr>
          <w:sz w:val="20"/>
          <w:szCs w:val="20"/>
          <w:lang w:val="es-ES"/>
        </w:rPr>
        <w:t>s.</w:t>
      </w:r>
    </w:p>
    <w:p w:rsidR="00370185" w:rsidRPr="00AF274C" w:rsidRDefault="00370185" w:rsidP="00FF0046">
      <w:pPr>
        <w:ind w:left="284" w:hanging="284"/>
        <w:rPr>
          <w:sz w:val="20"/>
          <w:szCs w:val="20"/>
          <w:lang w:val="es-ES"/>
        </w:rPr>
      </w:pPr>
    </w:p>
    <w:p w:rsidR="00F32746" w:rsidRPr="00AF274C" w:rsidRDefault="00581206" w:rsidP="00FF0046">
      <w:pPr>
        <w:pStyle w:val="Prrafodelista"/>
        <w:numPr>
          <w:ilvl w:val="0"/>
          <w:numId w:val="5"/>
        </w:numPr>
        <w:ind w:left="284" w:hanging="284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En la medid</w:t>
      </w:r>
      <w:r w:rsidR="00F32746" w:rsidRPr="00AF274C">
        <w:rPr>
          <w:sz w:val="20"/>
          <w:szCs w:val="20"/>
          <w:lang w:val="es-ES"/>
        </w:rPr>
        <w:t>a de</w:t>
      </w:r>
      <w:r>
        <w:rPr>
          <w:sz w:val="20"/>
          <w:szCs w:val="20"/>
          <w:lang w:val="es-ES"/>
        </w:rPr>
        <w:t xml:space="preserve"> </w:t>
      </w:r>
      <w:r w:rsidR="00F32746" w:rsidRPr="00AF274C">
        <w:rPr>
          <w:sz w:val="20"/>
          <w:szCs w:val="20"/>
          <w:lang w:val="es-ES"/>
        </w:rPr>
        <w:t>l</w:t>
      </w:r>
      <w:r>
        <w:rPr>
          <w:sz w:val="20"/>
          <w:szCs w:val="20"/>
          <w:lang w:val="es-ES"/>
        </w:rPr>
        <w:t>o pos</w:t>
      </w:r>
      <w:r w:rsidR="00F32746" w:rsidRPr="00AF274C">
        <w:rPr>
          <w:sz w:val="20"/>
          <w:szCs w:val="20"/>
          <w:lang w:val="es-ES"/>
        </w:rPr>
        <w:t>ible, durant</w:t>
      </w:r>
      <w:r>
        <w:rPr>
          <w:sz w:val="20"/>
          <w:szCs w:val="20"/>
          <w:lang w:val="es-ES"/>
        </w:rPr>
        <w:t>e la situación de pandemia conviene revisar rigu</w:t>
      </w:r>
      <w:r w:rsidR="00F32746" w:rsidRPr="00AF274C">
        <w:rPr>
          <w:sz w:val="20"/>
          <w:szCs w:val="20"/>
          <w:lang w:val="es-ES"/>
        </w:rPr>
        <w:t>rosament</w:t>
      </w:r>
      <w:r>
        <w:rPr>
          <w:sz w:val="20"/>
          <w:szCs w:val="20"/>
          <w:lang w:val="es-ES"/>
        </w:rPr>
        <w:t xml:space="preserve">e </w:t>
      </w:r>
      <w:r w:rsidRPr="006A1734">
        <w:rPr>
          <w:b/>
          <w:sz w:val="20"/>
          <w:szCs w:val="20"/>
          <w:lang w:val="es-ES"/>
        </w:rPr>
        <w:t>tod</w:t>
      </w:r>
      <w:r w:rsidR="00F32746" w:rsidRPr="006A1734">
        <w:rPr>
          <w:b/>
          <w:sz w:val="20"/>
          <w:szCs w:val="20"/>
          <w:lang w:val="es-ES"/>
        </w:rPr>
        <w:t>a la medicació</w:t>
      </w:r>
      <w:r w:rsidRPr="006A1734">
        <w:rPr>
          <w:b/>
          <w:sz w:val="20"/>
          <w:szCs w:val="20"/>
          <w:lang w:val="es-ES"/>
        </w:rPr>
        <w:t>n</w:t>
      </w:r>
      <w:r w:rsidR="00F32746" w:rsidRPr="00AF274C">
        <w:rPr>
          <w:sz w:val="20"/>
          <w:szCs w:val="20"/>
          <w:lang w:val="es-ES"/>
        </w:rPr>
        <w:t xml:space="preserve"> de cada pacient</w:t>
      </w:r>
      <w:r w:rsidR="0008726F">
        <w:rPr>
          <w:sz w:val="20"/>
          <w:szCs w:val="20"/>
          <w:lang w:val="es-ES"/>
        </w:rPr>
        <w:t>e</w:t>
      </w:r>
      <w:r>
        <w:rPr>
          <w:sz w:val="20"/>
          <w:szCs w:val="20"/>
          <w:lang w:val="es-ES"/>
        </w:rPr>
        <w:t>, con el fin de evitar no sólo</w:t>
      </w:r>
      <w:r w:rsidR="00F32746" w:rsidRPr="00AF274C">
        <w:rPr>
          <w:sz w:val="20"/>
          <w:szCs w:val="20"/>
          <w:lang w:val="es-ES"/>
        </w:rPr>
        <w:t xml:space="preserve"> el </w:t>
      </w:r>
      <w:r w:rsidR="00AF274C">
        <w:rPr>
          <w:sz w:val="20"/>
          <w:szCs w:val="20"/>
          <w:lang w:val="es-ES"/>
        </w:rPr>
        <w:t>riesgo</w:t>
      </w:r>
      <w:r w:rsidR="00F32746" w:rsidRPr="00AF274C">
        <w:rPr>
          <w:sz w:val="20"/>
          <w:szCs w:val="20"/>
          <w:lang w:val="es-ES"/>
        </w:rPr>
        <w:t xml:space="preserve"> de </w:t>
      </w:r>
      <w:r w:rsidR="00AF274C">
        <w:rPr>
          <w:sz w:val="20"/>
          <w:szCs w:val="20"/>
          <w:lang w:val="es-ES"/>
        </w:rPr>
        <w:t>neumonía</w:t>
      </w:r>
      <w:r>
        <w:rPr>
          <w:sz w:val="20"/>
          <w:szCs w:val="20"/>
          <w:lang w:val="es-ES"/>
        </w:rPr>
        <w:t>, sino</w:t>
      </w:r>
      <w:r w:rsidR="00F32746" w:rsidRPr="00AF274C">
        <w:rPr>
          <w:sz w:val="20"/>
          <w:szCs w:val="20"/>
          <w:lang w:val="es-ES"/>
        </w:rPr>
        <w:t xml:space="preserve"> tamb</w:t>
      </w:r>
      <w:r>
        <w:rPr>
          <w:sz w:val="20"/>
          <w:szCs w:val="20"/>
          <w:lang w:val="es-ES"/>
        </w:rPr>
        <w:t>i</w:t>
      </w:r>
      <w:r w:rsidR="00F32746" w:rsidRPr="00AF274C">
        <w:rPr>
          <w:sz w:val="20"/>
          <w:szCs w:val="20"/>
          <w:lang w:val="es-ES"/>
        </w:rPr>
        <w:t>é</w:t>
      </w:r>
      <w:r>
        <w:rPr>
          <w:sz w:val="20"/>
          <w:szCs w:val="20"/>
          <w:lang w:val="es-ES"/>
        </w:rPr>
        <w:t>n otro</w:t>
      </w:r>
      <w:r w:rsidR="00F32746" w:rsidRPr="00AF274C">
        <w:rPr>
          <w:sz w:val="20"/>
          <w:szCs w:val="20"/>
          <w:lang w:val="es-ES"/>
        </w:rPr>
        <w:t xml:space="preserve">s </w:t>
      </w:r>
      <w:r>
        <w:rPr>
          <w:sz w:val="20"/>
          <w:szCs w:val="20"/>
          <w:lang w:val="es-ES"/>
        </w:rPr>
        <w:t>efecto</w:t>
      </w:r>
      <w:r w:rsidR="00F32746" w:rsidRPr="00AF274C">
        <w:rPr>
          <w:sz w:val="20"/>
          <w:szCs w:val="20"/>
          <w:lang w:val="es-ES"/>
        </w:rPr>
        <w:t xml:space="preserve">s </w:t>
      </w:r>
      <w:r w:rsidR="00AF274C">
        <w:rPr>
          <w:sz w:val="20"/>
          <w:szCs w:val="20"/>
          <w:lang w:val="es-ES"/>
        </w:rPr>
        <w:t>innecesarios</w:t>
      </w:r>
      <w:r w:rsidR="00F32746" w:rsidRPr="00AF274C">
        <w:rPr>
          <w:sz w:val="20"/>
          <w:szCs w:val="20"/>
          <w:lang w:val="es-ES"/>
        </w:rPr>
        <w:t xml:space="preserve"> de</w:t>
      </w:r>
      <w:r>
        <w:rPr>
          <w:sz w:val="20"/>
          <w:szCs w:val="20"/>
          <w:lang w:val="es-ES"/>
        </w:rPr>
        <w:t xml:space="preserve"> </w:t>
      </w:r>
      <w:r w:rsidR="00F32746" w:rsidRPr="00AF274C">
        <w:rPr>
          <w:sz w:val="20"/>
          <w:szCs w:val="20"/>
          <w:lang w:val="es-ES"/>
        </w:rPr>
        <w:t>l</w:t>
      </w:r>
      <w:r>
        <w:rPr>
          <w:sz w:val="20"/>
          <w:szCs w:val="20"/>
          <w:lang w:val="es-ES"/>
        </w:rPr>
        <w:t>o</w:t>
      </w:r>
      <w:r w:rsidR="00F32746" w:rsidRPr="00AF274C">
        <w:rPr>
          <w:sz w:val="20"/>
          <w:szCs w:val="20"/>
          <w:lang w:val="es-ES"/>
        </w:rPr>
        <w:t xml:space="preserve">s </w:t>
      </w:r>
      <w:r w:rsidR="00B9771E">
        <w:rPr>
          <w:sz w:val="20"/>
          <w:szCs w:val="20"/>
          <w:lang w:val="es-ES"/>
        </w:rPr>
        <w:t>fármacos</w:t>
      </w:r>
      <w:r>
        <w:rPr>
          <w:sz w:val="20"/>
          <w:szCs w:val="20"/>
          <w:lang w:val="es-ES"/>
        </w:rPr>
        <w:t xml:space="preserve"> má</w:t>
      </w:r>
      <w:r w:rsidR="00F32746" w:rsidRPr="00AF274C">
        <w:rPr>
          <w:sz w:val="20"/>
          <w:szCs w:val="20"/>
          <w:lang w:val="es-ES"/>
        </w:rPr>
        <w:t>s prescrit</w:t>
      </w:r>
      <w:r w:rsidR="0008726F">
        <w:rPr>
          <w:sz w:val="20"/>
          <w:szCs w:val="20"/>
          <w:lang w:val="es-ES"/>
        </w:rPr>
        <w:t>o</w:t>
      </w:r>
      <w:r>
        <w:rPr>
          <w:sz w:val="20"/>
          <w:szCs w:val="20"/>
          <w:lang w:val="es-ES"/>
        </w:rPr>
        <w:t>s a las personas de edad avanzada</w:t>
      </w:r>
      <w:r w:rsidR="0008726F">
        <w:rPr>
          <w:sz w:val="20"/>
          <w:szCs w:val="20"/>
          <w:lang w:val="es-ES"/>
        </w:rPr>
        <w:t>, que son causa de ingre</w:t>
      </w:r>
      <w:r w:rsidR="00F32746" w:rsidRPr="00AF274C">
        <w:rPr>
          <w:sz w:val="20"/>
          <w:szCs w:val="20"/>
          <w:lang w:val="es-ES"/>
        </w:rPr>
        <w:t>s</w:t>
      </w:r>
      <w:r w:rsidR="0008726F">
        <w:rPr>
          <w:sz w:val="20"/>
          <w:szCs w:val="20"/>
          <w:lang w:val="es-ES"/>
        </w:rPr>
        <w:t>o</w:t>
      </w:r>
      <w:r w:rsidR="00F32746" w:rsidRPr="00AF274C">
        <w:rPr>
          <w:sz w:val="20"/>
          <w:szCs w:val="20"/>
          <w:lang w:val="es-ES"/>
        </w:rPr>
        <w:t xml:space="preserve"> hospitalari</w:t>
      </w:r>
      <w:r w:rsidR="0008726F">
        <w:rPr>
          <w:sz w:val="20"/>
          <w:szCs w:val="20"/>
          <w:lang w:val="es-ES"/>
        </w:rPr>
        <w:t>o (por ej., fracturas)</w:t>
      </w:r>
      <w:r w:rsidR="006A1734">
        <w:rPr>
          <w:sz w:val="20"/>
          <w:szCs w:val="20"/>
          <w:lang w:val="es-ES"/>
        </w:rPr>
        <w:t>, y las interacciones farmacológicas.</w:t>
      </w:r>
    </w:p>
    <w:p w:rsidR="0045556B" w:rsidRPr="00AF274C" w:rsidRDefault="0045556B" w:rsidP="00F32746">
      <w:pPr>
        <w:rPr>
          <w:sz w:val="20"/>
          <w:szCs w:val="20"/>
          <w:lang w:val="es-ES"/>
        </w:rPr>
      </w:pPr>
    </w:p>
    <w:sectPr w:rsidR="0045556B" w:rsidRPr="00AF274C" w:rsidSect="00446819">
      <w:headerReference w:type="even" r:id="rId11"/>
      <w:headerReference w:type="default" r:id="rId12"/>
      <w:endnotePr>
        <w:numFmt w:val="decimal"/>
      </w:endnotePr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519" w:rsidRDefault="002F0519">
      <w:r>
        <w:separator/>
      </w:r>
    </w:p>
  </w:endnote>
  <w:endnote w:type="continuationSeparator" w:id="1">
    <w:p w:rsidR="002F0519" w:rsidRDefault="002F0519">
      <w:r>
        <w:continuationSeparator/>
      </w:r>
    </w:p>
  </w:endnote>
  <w:endnote w:id="2">
    <w:p w:rsidR="002F0519" w:rsidRPr="006A6044" w:rsidRDefault="006A6044" w:rsidP="006A6044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n-US"/>
        </w:rPr>
      </w:pPr>
      <w:r w:rsidRPr="006A6044">
        <w:rPr>
          <w:rFonts w:cs="Tahoma"/>
          <w:sz w:val="18"/>
          <w:szCs w:val="18"/>
          <w:lang w:val="en-US"/>
        </w:rPr>
        <w:t xml:space="preserve"> </w:t>
      </w:r>
      <w:r w:rsidR="002F0519"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n-US"/>
        </w:rPr>
        <w:t xml:space="preserve">   </w:t>
      </w:r>
      <w:r w:rsidR="002F0519" w:rsidRPr="006A6044">
        <w:rPr>
          <w:rFonts w:cs="Tahoma"/>
          <w:sz w:val="18"/>
          <w:szCs w:val="18"/>
          <w:lang w:val="en-US"/>
        </w:rPr>
        <w:t xml:space="preserve">Butlletí Groc:  </w:t>
      </w:r>
      <w:hyperlink r:id="rId1" w:history="1">
        <w:r w:rsidR="002F0519" w:rsidRPr="006A6044">
          <w:rPr>
            <w:rStyle w:val="Hipervnculo"/>
            <w:rFonts w:cs="Tahoma"/>
            <w:sz w:val="18"/>
            <w:szCs w:val="18"/>
            <w:lang w:val="en-US"/>
          </w:rPr>
          <w:t>https://www.icf.uab.cat/assets/pdf/productes/bg/ca/bg293-4.16c.pdf</w:t>
        </w:r>
      </w:hyperlink>
      <w:r w:rsidR="002F0519" w:rsidRPr="006A6044">
        <w:rPr>
          <w:rFonts w:cs="Tahoma"/>
          <w:sz w:val="18"/>
          <w:szCs w:val="18"/>
          <w:lang w:val="en-US"/>
        </w:rPr>
        <w:t xml:space="preserve">  </w:t>
      </w:r>
    </w:p>
  </w:endnote>
  <w:endnote w:id="3">
    <w:p w:rsidR="002F0519" w:rsidRPr="006A6044" w:rsidRDefault="006A6044" w:rsidP="006A6044">
      <w:pPr>
        <w:autoSpaceDE w:val="0"/>
        <w:autoSpaceDN w:val="0"/>
        <w:adjustRightInd w:val="0"/>
        <w:spacing w:after="120"/>
        <w:ind w:left="284" w:hanging="284"/>
        <w:rPr>
          <w:rFonts w:cs="Tahoma"/>
          <w:sz w:val="18"/>
          <w:szCs w:val="18"/>
          <w:lang w:val="es-ES" w:eastAsia="ca-ES"/>
        </w:rPr>
      </w:pPr>
      <w:r w:rsidRPr="006A6044">
        <w:rPr>
          <w:rFonts w:cs="Tahoma"/>
          <w:sz w:val="18"/>
          <w:szCs w:val="18"/>
          <w:lang w:val="en-US"/>
        </w:rPr>
        <w:t xml:space="preserve"> </w:t>
      </w:r>
      <w:r w:rsidR="002F0519"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>
        <w:rPr>
          <w:rFonts w:cs="Tahoma"/>
          <w:sz w:val="18"/>
          <w:szCs w:val="18"/>
          <w:lang w:val="es-ES"/>
        </w:rPr>
        <w:t xml:space="preserve">   </w:t>
      </w:r>
      <w:r w:rsidR="002F0519" w:rsidRPr="006A6044">
        <w:rPr>
          <w:rFonts w:cs="Tahoma"/>
          <w:sz w:val="18"/>
          <w:szCs w:val="18"/>
          <w:lang w:val="es-ES" w:eastAsia="ca-ES"/>
        </w:rPr>
        <w:t>Trifiró G, Sultana J, Spina E. Drug Safety 2014</w:t>
      </w:r>
      <w:proofErr w:type="gramStart"/>
      <w:r w:rsidR="002F0519" w:rsidRPr="006A6044">
        <w:rPr>
          <w:rFonts w:cs="Tahoma"/>
          <w:sz w:val="18"/>
          <w:szCs w:val="18"/>
          <w:lang w:val="es-ES" w:eastAsia="ca-ES"/>
        </w:rPr>
        <w:t>;37:501</w:t>
      </w:r>
      <w:proofErr w:type="gramEnd"/>
      <w:r w:rsidR="002F0519" w:rsidRPr="006A6044">
        <w:rPr>
          <w:rFonts w:cs="Tahoma"/>
          <w:sz w:val="18"/>
          <w:szCs w:val="18"/>
          <w:lang w:val="es-ES" w:eastAsia="ca-ES"/>
        </w:rPr>
        <w:t xml:space="preserve">-20. </w:t>
      </w:r>
    </w:p>
  </w:endnote>
  <w:endnote w:id="4">
    <w:p w:rsidR="002F0519" w:rsidRPr="006A6044" w:rsidRDefault="006A6044" w:rsidP="006A6044">
      <w:pPr>
        <w:autoSpaceDE w:val="0"/>
        <w:autoSpaceDN w:val="0"/>
        <w:adjustRightInd w:val="0"/>
        <w:spacing w:after="120"/>
        <w:ind w:left="284" w:hanging="284"/>
        <w:rPr>
          <w:rFonts w:cs="Tahoma"/>
          <w:sz w:val="18"/>
          <w:szCs w:val="18"/>
          <w:lang w:val="es-ES" w:eastAsia="ca-ES"/>
        </w:rPr>
      </w:pPr>
      <w:r w:rsidRPr="006A6044">
        <w:rPr>
          <w:rFonts w:cs="Tahoma"/>
          <w:sz w:val="18"/>
          <w:szCs w:val="18"/>
          <w:lang w:val="fr-FR"/>
        </w:rPr>
        <w:t xml:space="preserve"> </w:t>
      </w:r>
      <w:r w:rsidR="002F0519"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fr-FR"/>
        </w:rPr>
        <w:t xml:space="preserve">   </w:t>
      </w:r>
      <w:r w:rsidR="002F0519" w:rsidRPr="006A6044">
        <w:rPr>
          <w:rFonts w:cs="Tahoma"/>
          <w:sz w:val="18"/>
          <w:szCs w:val="18"/>
          <w:lang w:val="fr-FR" w:eastAsia="ca-ES"/>
        </w:rPr>
        <w:t xml:space="preserve">Knol W, van Marum R, Jansen P, et al. </w:t>
      </w:r>
      <w:r w:rsidR="002F0519" w:rsidRPr="006A6044">
        <w:rPr>
          <w:rFonts w:cs="Tahoma"/>
          <w:sz w:val="18"/>
          <w:szCs w:val="18"/>
          <w:lang w:val="es-ES" w:eastAsia="ca-ES"/>
        </w:rPr>
        <w:t>J Am Geriatr Soc Sci Med 2008</w:t>
      </w:r>
      <w:proofErr w:type="gramStart"/>
      <w:r w:rsidR="002F0519" w:rsidRPr="006A6044">
        <w:rPr>
          <w:rFonts w:cs="Tahoma"/>
          <w:sz w:val="18"/>
          <w:szCs w:val="18"/>
          <w:lang w:val="es-ES" w:eastAsia="ca-ES"/>
        </w:rPr>
        <w:t>;56:661</w:t>
      </w:r>
      <w:proofErr w:type="gramEnd"/>
      <w:r w:rsidR="002F0519" w:rsidRPr="006A6044">
        <w:rPr>
          <w:rFonts w:cs="Tahoma"/>
          <w:sz w:val="18"/>
          <w:szCs w:val="18"/>
          <w:lang w:val="es-ES" w:eastAsia="ca-ES"/>
        </w:rPr>
        <w:t xml:space="preserve">-66. </w:t>
      </w:r>
    </w:p>
  </w:endnote>
  <w:endnote w:id="5">
    <w:p w:rsidR="002F0519" w:rsidRPr="006A6044" w:rsidRDefault="006A6044" w:rsidP="006A6044">
      <w:pPr>
        <w:autoSpaceDE w:val="0"/>
        <w:autoSpaceDN w:val="0"/>
        <w:adjustRightInd w:val="0"/>
        <w:spacing w:after="120"/>
        <w:ind w:left="284" w:hanging="284"/>
        <w:rPr>
          <w:rFonts w:cs="Tahoma"/>
          <w:sz w:val="18"/>
          <w:szCs w:val="18"/>
          <w:lang w:val="es-ES" w:eastAsia="ca-ES"/>
        </w:rPr>
      </w:pPr>
      <w:r>
        <w:rPr>
          <w:rFonts w:cs="Tahoma"/>
          <w:sz w:val="18"/>
          <w:szCs w:val="18"/>
          <w:lang w:val="es-ES"/>
        </w:rPr>
        <w:t xml:space="preserve"> </w:t>
      </w:r>
      <w:r w:rsidR="002F0519"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="002F0519" w:rsidRPr="006A6044">
        <w:rPr>
          <w:rFonts w:cs="Tahoma"/>
          <w:sz w:val="18"/>
          <w:szCs w:val="18"/>
          <w:lang w:val="es-ES"/>
        </w:rPr>
        <w:t xml:space="preserve">  </w:t>
      </w:r>
      <w:r w:rsidR="002F0519" w:rsidRPr="006A6044">
        <w:rPr>
          <w:rFonts w:cs="Tahoma"/>
          <w:sz w:val="18"/>
          <w:szCs w:val="18"/>
          <w:lang w:val="es-ES"/>
        </w:rPr>
        <w:tab/>
      </w:r>
      <w:r w:rsidR="002F0519" w:rsidRPr="006A6044">
        <w:rPr>
          <w:rFonts w:cs="Tahoma"/>
          <w:sz w:val="18"/>
          <w:szCs w:val="18"/>
          <w:lang w:val="es-ES" w:eastAsia="ca-ES"/>
        </w:rPr>
        <w:t>Trifiró G, Gambassi G, Sen EF, C, et al. Ann Intern Med 2010</w:t>
      </w:r>
      <w:proofErr w:type="gramStart"/>
      <w:r w:rsidR="002F0519" w:rsidRPr="006A6044">
        <w:rPr>
          <w:rFonts w:cs="Tahoma"/>
          <w:sz w:val="18"/>
          <w:szCs w:val="18"/>
          <w:lang w:val="es-ES" w:eastAsia="ca-ES"/>
        </w:rPr>
        <w:t>;152:418</w:t>
      </w:r>
      <w:proofErr w:type="gramEnd"/>
      <w:r w:rsidR="002F0519" w:rsidRPr="006A6044">
        <w:rPr>
          <w:rFonts w:cs="Tahoma"/>
          <w:sz w:val="18"/>
          <w:szCs w:val="18"/>
          <w:lang w:val="es-ES" w:eastAsia="ca-ES"/>
        </w:rPr>
        <w:t xml:space="preserve">-25. </w:t>
      </w:r>
      <w:hyperlink r:id="rId2" w:history="1">
        <w:r w:rsidR="002F0519" w:rsidRPr="006A6044">
          <w:rPr>
            <w:rStyle w:val="Hipervnculo"/>
            <w:rFonts w:cs="Tahoma"/>
            <w:sz w:val="18"/>
            <w:szCs w:val="18"/>
            <w:lang w:val="es-ES" w:eastAsia="ca-ES"/>
          </w:rPr>
          <w:t>http://www.sietes.org/buscar/cita/88170</w:t>
        </w:r>
      </w:hyperlink>
      <w:r w:rsidR="002F0519" w:rsidRPr="006A6044">
        <w:rPr>
          <w:rFonts w:cs="Tahoma"/>
          <w:sz w:val="18"/>
          <w:szCs w:val="18"/>
          <w:lang w:val="es-ES" w:eastAsia="ca-ES"/>
        </w:rPr>
        <w:t xml:space="preserve"> </w:t>
      </w:r>
    </w:p>
  </w:endnote>
  <w:endnote w:id="6">
    <w:p w:rsidR="002F0519" w:rsidRPr="006A6044" w:rsidRDefault="006A6044" w:rsidP="006A6044">
      <w:pPr>
        <w:autoSpaceDE w:val="0"/>
        <w:autoSpaceDN w:val="0"/>
        <w:adjustRightInd w:val="0"/>
        <w:spacing w:after="120"/>
        <w:ind w:left="284" w:hanging="284"/>
        <w:rPr>
          <w:rFonts w:cs="Tahoma"/>
          <w:sz w:val="18"/>
          <w:szCs w:val="18"/>
          <w:lang w:val="es-ES" w:eastAsia="ca-ES"/>
        </w:rPr>
      </w:pPr>
      <w:r>
        <w:rPr>
          <w:rFonts w:cs="Tahoma"/>
          <w:sz w:val="18"/>
          <w:szCs w:val="18"/>
          <w:lang w:val="es-ES"/>
        </w:rPr>
        <w:t xml:space="preserve"> </w:t>
      </w:r>
      <w:r w:rsidR="002F0519"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="002F0519" w:rsidRPr="006A6044">
        <w:rPr>
          <w:rFonts w:cs="Tahoma"/>
          <w:sz w:val="18"/>
          <w:szCs w:val="18"/>
          <w:lang w:val="es-ES"/>
        </w:rPr>
        <w:t xml:space="preserve">  </w:t>
      </w:r>
      <w:r w:rsidR="002F0519" w:rsidRPr="006A6044">
        <w:rPr>
          <w:rFonts w:cs="Tahoma"/>
          <w:sz w:val="18"/>
          <w:szCs w:val="18"/>
          <w:lang w:val="es-ES"/>
        </w:rPr>
        <w:tab/>
      </w:r>
      <w:r w:rsidR="002F0519" w:rsidRPr="006A6044">
        <w:rPr>
          <w:rFonts w:cs="Tahoma"/>
          <w:sz w:val="18"/>
          <w:szCs w:val="18"/>
          <w:lang w:val="es-ES" w:eastAsia="ca-ES"/>
        </w:rPr>
        <w:t>Mehta S, Pulungan Z, Jones BT, Teigland C. P</w:t>
      </w:r>
      <w:r w:rsidRPr="006A6044">
        <w:rPr>
          <w:rFonts w:cs="Tahoma"/>
          <w:sz w:val="18"/>
          <w:szCs w:val="18"/>
          <w:lang w:val="es-ES" w:eastAsia="ca-ES"/>
        </w:rPr>
        <w:t>harmacoepidemiol Drug Saf 2015</w:t>
      </w:r>
      <w:proofErr w:type="gramStart"/>
      <w:r w:rsidRPr="006A6044">
        <w:rPr>
          <w:rFonts w:cs="Tahoma"/>
          <w:sz w:val="18"/>
          <w:szCs w:val="18"/>
          <w:lang w:val="es-ES" w:eastAsia="ca-ES"/>
        </w:rPr>
        <w:t>;</w:t>
      </w:r>
      <w:r w:rsidR="002F0519" w:rsidRPr="006A6044">
        <w:rPr>
          <w:rFonts w:cs="Tahoma"/>
          <w:sz w:val="18"/>
          <w:szCs w:val="18"/>
          <w:lang w:val="es-ES" w:eastAsia="ca-ES"/>
        </w:rPr>
        <w:t>24:1271</w:t>
      </w:r>
      <w:proofErr w:type="gramEnd"/>
      <w:r w:rsidR="002F0519" w:rsidRPr="006A6044">
        <w:rPr>
          <w:rFonts w:cs="Tahoma"/>
          <w:sz w:val="18"/>
          <w:szCs w:val="18"/>
          <w:lang w:val="es-ES" w:eastAsia="ca-ES"/>
        </w:rPr>
        <w:t xml:space="preserve">-80. </w:t>
      </w:r>
      <w:hyperlink r:id="rId3" w:history="1">
        <w:r w:rsidR="002F0519" w:rsidRPr="006A6044">
          <w:rPr>
            <w:rStyle w:val="Hipervnculo"/>
            <w:rFonts w:cs="Tahoma"/>
            <w:sz w:val="18"/>
            <w:szCs w:val="18"/>
            <w:lang w:val="es-ES" w:eastAsia="ca-ES"/>
          </w:rPr>
          <w:t>http://www.sietes.org/buscar/cita/99788</w:t>
        </w:r>
      </w:hyperlink>
      <w:r w:rsidR="002F0519" w:rsidRPr="006A6044">
        <w:rPr>
          <w:rFonts w:cs="Tahoma"/>
          <w:sz w:val="18"/>
          <w:szCs w:val="18"/>
          <w:lang w:val="es-ES" w:eastAsia="ca-ES"/>
        </w:rPr>
        <w:t xml:space="preserve"> </w:t>
      </w:r>
    </w:p>
  </w:endnote>
  <w:endnote w:id="7">
    <w:p w:rsidR="002F0519" w:rsidRPr="006A6044" w:rsidRDefault="002F0519" w:rsidP="006A6044">
      <w:pPr>
        <w:autoSpaceDE w:val="0"/>
        <w:autoSpaceDN w:val="0"/>
        <w:adjustRightInd w:val="0"/>
        <w:spacing w:after="120"/>
        <w:ind w:left="284" w:hanging="284"/>
        <w:rPr>
          <w:rFonts w:cs="Tahoma"/>
          <w:sz w:val="18"/>
          <w:szCs w:val="18"/>
          <w:lang w:val="es-ES" w:eastAsia="ca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</w:t>
      </w:r>
      <w:r w:rsidRPr="006A6044">
        <w:rPr>
          <w:rFonts w:cs="Tahoma"/>
          <w:sz w:val="18"/>
          <w:szCs w:val="18"/>
          <w:lang w:val="es-ES"/>
        </w:rPr>
        <w:tab/>
      </w:r>
      <w:r w:rsidRPr="006A6044">
        <w:rPr>
          <w:rFonts w:cs="Tahoma"/>
          <w:sz w:val="18"/>
          <w:szCs w:val="18"/>
          <w:lang w:val="es-ES" w:eastAsia="ca-ES"/>
        </w:rPr>
        <w:t>Nosè M, Recla E, Trifirò G, Barbui C. Pharmacoepidemiol Drug Saf 2015</w:t>
      </w:r>
      <w:proofErr w:type="gramStart"/>
      <w:r w:rsidRPr="006A6044">
        <w:rPr>
          <w:rFonts w:cs="Tahoma"/>
          <w:sz w:val="18"/>
          <w:szCs w:val="18"/>
          <w:lang w:val="es-ES" w:eastAsia="ca-ES"/>
        </w:rPr>
        <w:t>;24:812</w:t>
      </w:r>
      <w:proofErr w:type="gramEnd"/>
      <w:r w:rsidRPr="006A6044">
        <w:rPr>
          <w:rFonts w:cs="Tahoma"/>
          <w:sz w:val="18"/>
          <w:szCs w:val="18"/>
          <w:lang w:val="es-ES" w:eastAsia="ca-ES"/>
        </w:rPr>
        <w:t xml:space="preserve">-20. </w:t>
      </w:r>
      <w:hyperlink r:id="rId4" w:history="1">
        <w:r w:rsidRPr="006A6044">
          <w:rPr>
            <w:rStyle w:val="Hipervnculo"/>
            <w:rFonts w:cs="Tahoma"/>
            <w:sz w:val="18"/>
            <w:szCs w:val="18"/>
            <w:lang w:val="es-ES" w:eastAsia="ca-ES"/>
          </w:rPr>
          <w:t>http://www.sietes.org/buscar/cita/99472</w:t>
        </w:r>
      </w:hyperlink>
      <w:r w:rsidRPr="006A6044">
        <w:rPr>
          <w:rFonts w:cs="Tahoma"/>
          <w:sz w:val="18"/>
          <w:szCs w:val="18"/>
          <w:lang w:val="es-ES" w:eastAsia="ca-ES"/>
        </w:rPr>
        <w:t xml:space="preserve"> </w:t>
      </w:r>
    </w:p>
  </w:endnote>
  <w:endnote w:id="8">
    <w:p w:rsidR="002F0519" w:rsidRPr="006A6044" w:rsidRDefault="002F0519" w:rsidP="006A6044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</w:t>
      </w:r>
      <w:r w:rsidRPr="006A6044">
        <w:rPr>
          <w:rFonts w:cs="Tahoma"/>
          <w:sz w:val="18"/>
          <w:szCs w:val="18"/>
          <w:lang w:val="es-ES"/>
        </w:rPr>
        <w:tab/>
        <w:t xml:space="preserve">CatSalut. </w:t>
      </w:r>
      <w:hyperlink r:id="rId5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http://medicaments.gencat.cat/ca/professionals/seguretat/fitxes-seguretat/riscos-us-antipsicotics-en-gent-gran/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9">
    <w:p w:rsidR="002F0519" w:rsidRPr="006A6044" w:rsidRDefault="002F0519" w:rsidP="006A6044">
      <w:pPr>
        <w:autoSpaceDE w:val="0"/>
        <w:autoSpaceDN w:val="0"/>
        <w:adjustRightInd w:val="0"/>
        <w:spacing w:after="120"/>
        <w:ind w:left="284" w:hanging="284"/>
        <w:rPr>
          <w:rFonts w:cs="Tahoma"/>
          <w:color w:val="131413"/>
          <w:sz w:val="18"/>
          <w:szCs w:val="18"/>
          <w:lang w:val="es-ES" w:eastAsia="ca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</w:t>
      </w:r>
      <w:r w:rsidRPr="006A6044">
        <w:rPr>
          <w:rFonts w:cs="Tahoma"/>
          <w:sz w:val="18"/>
          <w:szCs w:val="18"/>
          <w:lang w:val="es-ES"/>
        </w:rPr>
        <w:tab/>
      </w:r>
      <w:r w:rsidRPr="006A6044">
        <w:rPr>
          <w:rFonts w:cs="Tahoma"/>
          <w:color w:val="131413"/>
          <w:sz w:val="18"/>
          <w:szCs w:val="18"/>
          <w:lang w:val="es-ES" w:eastAsia="ca-ES"/>
        </w:rPr>
        <w:t xml:space="preserve">Asensio C, </w:t>
      </w:r>
      <w:r w:rsidR="00C12F49" w:rsidRPr="006A6044">
        <w:rPr>
          <w:rFonts w:cs="Tahoma"/>
          <w:color w:val="131413"/>
          <w:sz w:val="18"/>
          <w:szCs w:val="18"/>
          <w:lang w:val="es-ES" w:eastAsia="ca-ES"/>
        </w:rPr>
        <w:t>Escoda N, Sabaté M,</w:t>
      </w:r>
      <w:r w:rsidRPr="006A6044">
        <w:rPr>
          <w:rFonts w:cs="Tahoma"/>
          <w:color w:val="131413"/>
          <w:sz w:val="18"/>
          <w:szCs w:val="18"/>
          <w:lang w:val="es-ES" w:eastAsia="ca-ES"/>
        </w:rPr>
        <w:t xml:space="preserve"> et al. Eur J Clin Pharmacol </w:t>
      </w:r>
      <w:r w:rsidRPr="006A6044">
        <w:rPr>
          <w:rFonts w:cs="Tahoma"/>
          <w:sz w:val="18"/>
          <w:szCs w:val="18"/>
          <w:lang w:val="es-ES"/>
        </w:rPr>
        <w:t>2018</w:t>
      </w:r>
      <w:proofErr w:type="gramStart"/>
      <w:r w:rsidRPr="006A6044">
        <w:rPr>
          <w:rFonts w:cs="Tahoma"/>
          <w:sz w:val="18"/>
          <w:szCs w:val="18"/>
          <w:lang w:val="es-ES"/>
        </w:rPr>
        <w:t>;74:1185</w:t>
      </w:r>
      <w:proofErr w:type="gramEnd"/>
      <w:r w:rsidRPr="006A6044">
        <w:rPr>
          <w:rFonts w:cs="Tahoma"/>
          <w:sz w:val="18"/>
          <w:szCs w:val="18"/>
          <w:lang w:val="es-ES"/>
        </w:rPr>
        <w:t xml:space="preserve">-86. </w:t>
      </w:r>
      <w:hyperlink r:id="rId6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http://www.sietes.org/buscar/cita/102828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10">
    <w:p w:rsidR="002F0519" w:rsidRPr="006A6044" w:rsidRDefault="002F0519" w:rsidP="006A6044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cs="Tahoma"/>
          <w:noProof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</w:r>
      <w:r w:rsidR="00C12F49" w:rsidRPr="006A6044">
        <w:rPr>
          <w:rFonts w:cs="Tahoma"/>
          <w:noProof/>
          <w:sz w:val="18"/>
          <w:szCs w:val="18"/>
          <w:lang w:val="es-ES"/>
        </w:rPr>
        <w:t xml:space="preserve">Marston L, Nazareth I, </w:t>
      </w:r>
      <w:r w:rsidR="006A6044" w:rsidRPr="006A6044">
        <w:rPr>
          <w:rFonts w:cs="Tahoma"/>
          <w:noProof/>
          <w:sz w:val="18"/>
          <w:szCs w:val="18"/>
          <w:lang w:val="es-ES"/>
        </w:rPr>
        <w:t xml:space="preserve">Petersen I, </w:t>
      </w:r>
      <w:r w:rsidR="00C12F49" w:rsidRPr="006A6044">
        <w:rPr>
          <w:rFonts w:cs="Tahoma"/>
          <w:noProof/>
          <w:sz w:val="18"/>
          <w:szCs w:val="18"/>
          <w:lang w:val="es-ES"/>
        </w:rPr>
        <w:t>et al</w:t>
      </w:r>
      <w:r w:rsidRPr="006A6044">
        <w:rPr>
          <w:rFonts w:cs="Tahoma"/>
          <w:noProof/>
          <w:sz w:val="18"/>
          <w:szCs w:val="18"/>
          <w:lang w:val="es-ES"/>
        </w:rPr>
        <w:t xml:space="preserve">. BMJ Open 2014; 4:e006135. </w:t>
      </w:r>
      <w:hyperlink r:id="rId7" w:history="1">
        <w:r w:rsidR="00C12F49" w:rsidRPr="006A6044">
          <w:rPr>
            <w:rStyle w:val="Hipervnculo"/>
            <w:rFonts w:cs="Tahoma"/>
            <w:noProof/>
            <w:sz w:val="18"/>
            <w:szCs w:val="18"/>
            <w:lang w:val="es-ES"/>
          </w:rPr>
          <w:t>https://bmjopen.bmj.com/content/4/12/e006135.info</w:t>
        </w:r>
      </w:hyperlink>
      <w:r w:rsidR="00C12F49" w:rsidRPr="006A6044">
        <w:rPr>
          <w:rFonts w:cs="Tahoma"/>
          <w:noProof/>
          <w:sz w:val="18"/>
          <w:szCs w:val="18"/>
          <w:lang w:val="es-ES"/>
        </w:rPr>
        <w:t xml:space="preserve"> </w:t>
      </w:r>
    </w:p>
  </w:endnote>
  <w:endnote w:id="11">
    <w:p w:rsidR="002F0519" w:rsidRPr="006A6044" w:rsidRDefault="002F0519" w:rsidP="006A6044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cs="Tahoma"/>
          <w:noProof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</w:r>
      <w:r w:rsidRPr="006A6044">
        <w:rPr>
          <w:rFonts w:cs="Tahoma"/>
          <w:noProof/>
          <w:sz w:val="18"/>
          <w:szCs w:val="18"/>
          <w:lang w:val="es-ES"/>
        </w:rPr>
        <w:t xml:space="preserve">Kaye JA, Bradbury BD, Jick H. Br J Clin Pharmacol 2003;56:569-75. </w:t>
      </w:r>
    </w:p>
  </w:endnote>
  <w:endnote w:id="12">
    <w:p w:rsidR="002F0519" w:rsidRPr="006A6044" w:rsidRDefault="002F0519" w:rsidP="006A6044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cs="Tahoma"/>
          <w:noProof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</w:r>
      <w:r w:rsidRPr="006A6044">
        <w:rPr>
          <w:rFonts w:cs="Tahoma"/>
          <w:noProof/>
          <w:sz w:val="18"/>
          <w:szCs w:val="18"/>
          <w:lang w:val="es-ES"/>
        </w:rPr>
        <w:t>Helvik A-S, Šaltytė Benth J, Wu B, et al. BMC Geriatr 2017;17:52.</w:t>
      </w:r>
    </w:p>
  </w:endnote>
  <w:endnote w:id="13">
    <w:p w:rsidR="002F0519" w:rsidRPr="006A6044" w:rsidRDefault="002F0519" w:rsidP="006A6044">
      <w:pPr>
        <w:widowControl w:val="0"/>
        <w:autoSpaceDE w:val="0"/>
        <w:autoSpaceDN w:val="0"/>
        <w:adjustRightInd w:val="0"/>
        <w:spacing w:after="120"/>
        <w:ind w:left="284" w:hanging="284"/>
        <w:rPr>
          <w:rFonts w:cs="Tahoma"/>
          <w:noProof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</w:r>
      <w:r w:rsidRPr="006A6044">
        <w:rPr>
          <w:rFonts w:cs="Tahoma"/>
          <w:noProof/>
          <w:sz w:val="18"/>
          <w:szCs w:val="18"/>
          <w:lang w:val="es-ES"/>
        </w:rPr>
        <w:t xml:space="preserve">Brett J, Karanges EA, Daniels B, et al. Aust N Z J Psychiatry 2017;51:990-99. </w:t>
      </w:r>
    </w:p>
  </w:endnote>
  <w:endnote w:id="14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lang w:val="es-ES" w:eastAsia="ca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</w:r>
      <w:r w:rsidRPr="006A6044">
        <w:rPr>
          <w:rFonts w:cs="Tahoma"/>
          <w:sz w:val="18"/>
          <w:szCs w:val="18"/>
          <w:lang w:val="es-ES" w:eastAsia="ca-ES"/>
        </w:rPr>
        <w:t xml:space="preserve">Chatterjee S, Carnahan RM, </w:t>
      </w:r>
      <w:hyperlink r:id="rId8" w:history="1">
        <w:r w:rsidRPr="006A6044">
          <w:rPr>
            <w:rFonts w:cs="Tahoma"/>
            <w:sz w:val="18"/>
            <w:szCs w:val="18"/>
            <w:lang w:val="es-ES" w:eastAsia="ca-ES"/>
          </w:rPr>
          <w:t>Chen H</w:t>
        </w:r>
      </w:hyperlink>
      <w:r w:rsidRPr="006A6044">
        <w:rPr>
          <w:rFonts w:cs="Tahoma"/>
          <w:sz w:val="18"/>
          <w:szCs w:val="18"/>
          <w:lang w:val="es-ES" w:eastAsia="ca-ES"/>
        </w:rPr>
        <w:t>, et al. J Am Geriatr Soc 2016</w:t>
      </w:r>
      <w:proofErr w:type="gramStart"/>
      <w:r w:rsidRPr="006A6044">
        <w:rPr>
          <w:rFonts w:cs="Tahoma"/>
          <w:sz w:val="18"/>
          <w:szCs w:val="18"/>
          <w:lang w:val="es-ES" w:eastAsia="ca-ES"/>
        </w:rPr>
        <w:t>;64:394</w:t>
      </w:r>
      <w:proofErr w:type="gramEnd"/>
      <w:r w:rsidRPr="006A6044">
        <w:rPr>
          <w:rFonts w:cs="Tahoma"/>
          <w:sz w:val="18"/>
          <w:szCs w:val="18"/>
          <w:lang w:val="es-ES" w:eastAsia="ca-ES"/>
        </w:rPr>
        <w:t xml:space="preserve">-400. </w:t>
      </w:r>
      <w:hyperlink r:id="rId9" w:history="1">
        <w:r w:rsidRPr="006A6044">
          <w:rPr>
            <w:rStyle w:val="Hipervnculo"/>
            <w:rFonts w:cs="Tahoma"/>
            <w:sz w:val="18"/>
            <w:szCs w:val="18"/>
            <w:lang w:val="es-ES" w:eastAsia="ca-ES"/>
          </w:rPr>
          <w:t>http://www.sietes.org/buscar/cita/99969</w:t>
        </w:r>
      </w:hyperlink>
      <w:r w:rsidRPr="006A6044">
        <w:rPr>
          <w:rFonts w:cs="Tahoma"/>
          <w:sz w:val="18"/>
          <w:szCs w:val="18"/>
          <w:lang w:val="es-ES" w:eastAsia="ca-ES"/>
        </w:rPr>
        <w:t xml:space="preserve"> </w:t>
      </w:r>
    </w:p>
  </w:endnote>
  <w:endnote w:id="15">
    <w:p w:rsidR="002F0519" w:rsidRPr="006A6044" w:rsidRDefault="002F0519" w:rsidP="006A6044">
      <w:pPr>
        <w:tabs>
          <w:tab w:val="left" w:pos="0"/>
        </w:tabs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>Paul KJ, Walker RL, Dublin S. J Am Geriatr Soc 2015</w:t>
      </w:r>
      <w:proofErr w:type="gramStart"/>
      <w:r w:rsidRPr="006A6044">
        <w:rPr>
          <w:rFonts w:cs="Tahoma"/>
          <w:sz w:val="18"/>
          <w:szCs w:val="18"/>
          <w:lang w:val="es-ES"/>
        </w:rPr>
        <w:t>;63:476</w:t>
      </w:r>
      <w:proofErr w:type="gramEnd"/>
      <w:r w:rsidRPr="006A6044">
        <w:rPr>
          <w:rFonts w:cs="Tahoma"/>
          <w:sz w:val="18"/>
          <w:szCs w:val="18"/>
          <w:lang w:val="es-ES"/>
        </w:rPr>
        <w:t xml:space="preserve">-85. </w:t>
      </w:r>
      <w:hyperlink r:id="rId10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http://www.sietes.org/buscar/cita/99857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16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Butlletí Groc: </w:t>
      </w:r>
      <w:hyperlink r:id="rId11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https://www.icf.uab.cat/assets/pdf/productes/bg/ca/bg281.15c.pdf</w:t>
        </w:r>
      </w:hyperlink>
    </w:p>
  </w:endnote>
  <w:endnote w:id="17">
    <w:p w:rsidR="002F0519" w:rsidRPr="006A6044" w:rsidRDefault="002F0519" w:rsidP="006A6044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CatSalut. </w:t>
      </w:r>
      <w:hyperlink r:id="rId12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http://medicaments.gencat.cat/ca/professionals/seguretat/fitxes-seguretat/riscos-de-farmacs-que-empitjoren-la-funcio-cognitiva-en-gent-gran-hipnosedants-anticolinergics-i-estatines/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18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</w:t>
      </w:r>
      <w:r w:rsidRPr="006A6044">
        <w:rPr>
          <w:rFonts w:cs="Tahoma"/>
          <w:sz w:val="18"/>
          <w:szCs w:val="18"/>
          <w:lang w:val="es-ES" w:eastAsia="ca-ES"/>
        </w:rPr>
        <w:t>Dublin S, Walker RL, Jackson ML, et al. J Am Geriatr Soc 2011</w:t>
      </w:r>
      <w:proofErr w:type="gramStart"/>
      <w:r w:rsidRPr="006A6044">
        <w:rPr>
          <w:rFonts w:cs="Tahoma"/>
          <w:sz w:val="18"/>
          <w:szCs w:val="18"/>
          <w:lang w:val="es-ES" w:eastAsia="ca-ES"/>
        </w:rPr>
        <w:t>;59:1899</w:t>
      </w:r>
      <w:proofErr w:type="gramEnd"/>
      <w:r w:rsidRPr="006A6044">
        <w:rPr>
          <w:rFonts w:cs="Tahoma"/>
          <w:sz w:val="18"/>
          <w:szCs w:val="18"/>
          <w:lang w:val="es-ES" w:eastAsia="ca-ES"/>
        </w:rPr>
        <w:t xml:space="preserve">-907. </w:t>
      </w:r>
      <w:hyperlink r:id="rId13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http://www.sietes.org/buscar/cita/102563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19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lang w:val="es-ES" w:eastAsia="ca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n-US"/>
        </w:rPr>
        <w:t xml:space="preserve">  </w:t>
      </w:r>
      <w:hyperlink r:id="rId14" w:history="1">
        <w:r w:rsidRPr="006A6044">
          <w:rPr>
            <w:rFonts w:cs="Tahoma"/>
            <w:sz w:val="18"/>
            <w:szCs w:val="18"/>
            <w:lang w:val="en-US" w:eastAsia="ca-ES"/>
          </w:rPr>
          <w:t>Wiese AD</w:t>
        </w:r>
      </w:hyperlink>
      <w:r w:rsidRPr="006A6044">
        <w:rPr>
          <w:rFonts w:cs="Tahoma"/>
          <w:sz w:val="18"/>
          <w:szCs w:val="18"/>
          <w:lang w:val="en-US" w:eastAsia="ca-ES"/>
        </w:rPr>
        <w:t xml:space="preserve">, </w:t>
      </w:r>
      <w:hyperlink r:id="rId15" w:history="1">
        <w:r w:rsidRPr="006A6044">
          <w:rPr>
            <w:rFonts w:cs="Tahoma"/>
            <w:sz w:val="18"/>
            <w:szCs w:val="18"/>
            <w:lang w:val="en-US" w:eastAsia="ca-ES"/>
          </w:rPr>
          <w:t>Griffin MR</w:t>
        </w:r>
      </w:hyperlink>
      <w:r w:rsidRPr="006A6044">
        <w:rPr>
          <w:rFonts w:cs="Tahoma"/>
          <w:sz w:val="18"/>
          <w:szCs w:val="18"/>
          <w:lang w:val="en-US" w:eastAsia="ca-ES"/>
        </w:rPr>
        <w:t xml:space="preserve">, </w:t>
      </w:r>
      <w:hyperlink r:id="rId16" w:history="1">
        <w:r w:rsidRPr="006A6044">
          <w:rPr>
            <w:rFonts w:cs="Tahoma"/>
            <w:sz w:val="18"/>
            <w:szCs w:val="18"/>
            <w:lang w:val="en-US" w:eastAsia="ca-ES"/>
          </w:rPr>
          <w:t>Schaffner W</w:t>
        </w:r>
      </w:hyperlink>
      <w:r w:rsidRPr="006A6044">
        <w:rPr>
          <w:rFonts w:cs="Tahoma"/>
          <w:sz w:val="18"/>
          <w:szCs w:val="18"/>
          <w:lang w:val="en-US" w:eastAsia="ca-ES"/>
        </w:rPr>
        <w:t xml:space="preserve">, et al. </w:t>
      </w:r>
      <w:r w:rsidRPr="006A6044">
        <w:rPr>
          <w:rFonts w:cs="Tahoma"/>
          <w:sz w:val="18"/>
          <w:szCs w:val="18"/>
          <w:lang w:val="es-ES" w:eastAsia="ca-ES"/>
        </w:rPr>
        <w:t>Ann Intern Med 2018</w:t>
      </w:r>
      <w:proofErr w:type="gramStart"/>
      <w:r w:rsidRPr="006A6044">
        <w:rPr>
          <w:rFonts w:cs="Tahoma"/>
          <w:sz w:val="18"/>
          <w:szCs w:val="18"/>
          <w:lang w:val="es-ES" w:eastAsia="ca-ES"/>
        </w:rPr>
        <w:t>;168:396</w:t>
      </w:r>
      <w:proofErr w:type="gramEnd"/>
      <w:r w:rsidRPr="006A6044">
        <w:rPr>
          <w:rFonts w:cs="Tahoma"/>
          <w:sz w:val="18"/>
          <w:szCs w:val="18"/>
          <w:lang w:val="es-ES" w:eastAsia="ca-ES"/>
        </w:rPr>
        <w:t xml:space="preserve">-404. </w:t>
      </w:r>
      <w:hyperlink r:id="rId17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http://www.sietes.org/buscar/cita/102456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20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</w:t>
      </w:r>
      <w:r w:rsidRPr="006A6044">
        <w:rPr>
          <w:rFonts w:cs="Tahoma"/>
          <w:sz w:val="18"/>
          <w:szCs w:val="18"/>
          <w:lang w:val="es-ES" w:eastAsia="ca-ES"/>
        </w:rPr>
        <w:t xml:space="preserve">Vozoris NT, </w:t>
      </w:r>
      <w:hyperlink r:id="rId18" w:history="1">
        <w:r w:rsidRPr="006A6044">
          <w:rPr>
            <w:rFonts w:cs="Tahoma"/>
            <w:sz w:val="18"/>
            <w:szCs w:val="18"/>
            <w:lang w:val="es-ES" w:eastAsia="ca-ES"/>
          </w:rPr>
          <w:t>Wang X</w:t>
        </w:r>
      </w:hyperlink>
      <w:r w:rsidRPr="006A6044">
        <w:rPr>
          <w:rFonts w:cs="Tahoma"/>
          <w:sz w:val="18"/>
          <w:szCs w:val="18"/>
          <w:lang w:val="es-ES" w:eastAsia="ca-ES"/>
        </w:rPr>
        <w:t xml:space="preserve">, </w:t>
      </w:r>
      <w:hyperlink r:id="rId19" w:history="1">
        <w:r w:rsidRPr="006A6044">
          <w:rPr>
            <w:rFonts w:cs="Tahoma"/>
            <w:sz w:val="18"/>
            <w:szCs w:val="18"/>
            <w:lang w:val="es-ES" w:eastAsia="ca-ES"/>
          </w:rPr>
          <w:t>Fischer HD</w:t>
        </w:r>
      </w:hyperlink>
      <w:r w:rsidRPr="006A6044">
        <w:rPr>
          <w:rFonts w:cs="Tahoma"/>
          <w:sz w:val="18"/>
          <w:szCs w:val="18"/>
          <w:lang w:val="es-ES" w:eastAsia="ca-ES"/>
        </w:rPr>
        <w:t xml:space="preserve">, </w:t>
      </w:r>
      <w:hyperlink r:id="rId20" w:history="1">
        <w:r w:rsidRPr="006A6044">
          <w:rPr>
            <w:rFonts w:cs="Tahoma"/>
            <w:sz w:val="18"/>
            <w:szCs w:val="18"/>
            <w:lang w:val="es-ES" w:eastAsia="ca-ES"/>
          </w:rPr>
          <w:t>Bell CM</w:t>
        </w:r>
      </w:hyperlink>
      <w:r w:rsidRPr="006A6044">
        <w:rPr>
          <w:rFonts w:cs="Tahoma"/>
          <w:sz w:val="18"/>
          <w:szCs w:val="18"/>
          <w:lang w:val="es-ES" w:eastAsia="ca-ES"/>
        </w:rPr>
        <w:t xml:space="preserve">, et al. </w:t>
      </w:r>
      <w:hyperlink r:id="rId21" w:tooltip="The European respiratory journal." w:history="1">
        <w:r w:rsidRPr="006A6044">
          <w:rPr>
            <w:rFonts w:cs="Tahoma"/>
            <w:sz w:val="18"/>
            <w:szCs w:val="18"/>
            <w:lang w:val="es-ES" w:eastAsia="ca-ES"/>
          </w:rPr>
          <w:t>Eur Respir J.</w:t>
        </w:r>
      </w:hyperlink>
      <w:r w:rsidRPr="006A6044">
        <w:rPr>
          <w:rFonts w:cs="Tahoma"/>
          <w:sz w:val="18"/>
          <w:szCs w:val="18"/>
          <w:lang w:val="es-ES" w:eastAsia="ca-ES"/>
        </w:rPr>
        <w:t xml:space="preserve"> 2016</w:t>
      </w:r>
      <w:proofErr w:type="gramStart"/>
      <w:r w:rsidRPr="006A6044">
        <w:rPr>
          <w:rFonts w:cs="Tahoma"/>
          <w:sz w:val="18"/>
          <w:szCs w:val="18"/>
          <w:lang w:val="es-ES" w:eastAsia="ca-ES"/>
        </w:rPr>
        <w:t>;48:683</w:t>
      </w:r>
      <w:proofErr w:type="gramEnd"/>
      <w:r w:rsidRPr="006A6044">
        <w:rPr>
          <w:rFonts w:cs="Tahoma"/>
          <w:sz w:val="18"/>
          <w:szCs w:val="18"/>
          <w:lang w:val="es-ES" w:eastAsia="ca-ES"/>
        </w:rPr>
        <w:t xml:space="preserve">-93. </w:t>
      </w:r>
      <w:hyperlink r:id="rId22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https://www.ncbi.nlm.nih.gov/pubmed/27418553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21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highlight w:val="yellow"/>
          <w:lang w:val="es-ES" w:eastAsia="ca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 xml:space="preserve">CatSalut. </w:t>
      </w:r>
      <w:hyperlink r:id="rId23" w:history="1">
        <w:r w:rsidRPr="006A6044">
          <w:rPr>
            <w:rStyle w:val="Hipervnculo"/>
            <w:rFonts w:cs="Tahoma"/>
            <w:sz w:val="18"/>
            <w:szCs w:val="18"/>
            <w:lang w:val="es-ES" w:eastAsia="ca-ES"/>
          </w:rPr>
          <w:t>http://medicaments.gencat.cat/ca/professionals/seguretat/fitxes-seguretat/Riscos-associats-a-lus-concominant-dopioides-i-benzodiazepines/</w:t>
        </w:r>
      </w:hyperlink>
      <w:r w:rsidRPr="006A6044">
        <w:rPr>
          <w:rFonts w:cs="Tahoma"/>
          <w:sz w:val="18"/>
          <w:szCs w:val="18"/>
          <w:lang w:val="es-ES" w:eastAsia="ca-ES"/>
        </w:rPr>
        <w:t xml:space="preserve"> </w:t>
      </w:r>
    </w:p>
  </w:endnote>
  <w:endnote w:id="22">
    <w:p w:rsidR="002F0519" w:rsidRPr="00035F84" w:rsidRDefault="002F0519" w:rsidP="00035F8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</w:t>
      </w:r>
      <w:r w:rsidRPr="00035F84">
        <w:rPr>
          <w:rFonts w:cs="Tahoma"/>
          <w:sz w:val="18"/>
          <w:szCs w:val="18"/>
          <w:lang w:val="es-ES"/>
        </w:rPr>
        <w:t xml:space="preserve">Butlletí Groc. </w:t>
      </w:r>
      <w:hyperlink r:id="rId24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https://www.icf.uab.cat/ca/download/enllac/assets/pdf/productes/bg/ca/bg254.12c.pdf</w:t>
        </w:r>
      </w:hyperlink>
      <w:r w:rsidRPr="00035F84">
        <w:rPr>
          <w:rFonts w:cs="Tahoma"/>
          <w:sz w:val="18"/>
          <w:szCs w:val="18"/>
          <w:lang w:val="es-ES"/>
        </w:rPr>
        <w:t xml:space="preserve"> </w:t>
      </w:r>
    </w:p>
  </w:endnote>
  <w:endnote w:id="23">
    <w:p w:rsidR="002F0519" w:rsidRPr="00035F84" w:rsidRDefault="002F0519" w:rsidP="00035F84">
      <w:pPr>
        <w:pStyle w:val="Prrafodelista"/>
        <w:spacing w:after="120"/>
        <w:ind w:left="284" w:hanging="284"/>
        <w:rPr>
          <w:rFonts w:cs="Tahoma"/>
          <w:noProof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 </w:t>
      </w:r>
      <w:r w:rsidRPr="00035F84">
        <w:rPr>
          <w:rFonts w:cs="Tahoma"/>
          <w:noProof/>
          <w:sz w:val="18"/>
          <w:szCs w:val="18"/>
          <w:lang w:val="es-ES"/>
        </w:rPr>
        <w:t xml:space="preserve">Obiora E, Hubbard R, Sanders RD, Myles PR. Thorax 2013;68:163-70. </w:t>
      </w:r>
      <w:hyperlink r:id="rId25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https://thorax.bmj.com/content/68/2/163</w:t>
        </w:r>
      </w:hyperlink>
      <w:r w:rsidRPr="00035F84">
        <w:rPr>
          <w:rFonts w:cs="Tahoma"/>
          <w:sz w:val="18"/>
          <w:szCs w:val="18"/>
          <w:lang w:val="es-ES"/>
        </w:rPr>
        <w:t xml:space="preserve"> </w:t>
      </w:r>
      <w:hyperlink r:id="rId26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http://www.sietes.org/buscar/cita/94840</w:t>
        </w:r>
      </w:hyperlink>
      <w:r w:rsidRPr="00035F84">
        <w:rPr>
          <w:rFonts w:cs="Tahoma"/>
          <w:sz w:val="18"/>
          <w:szCs w:val="18"/>
          <w:lang w:val="es-ES"/>
        </w:rPr>
        <w:t xml:space="preserve"> </w:t>
      </w:r>
    </w:p>
  </w:endnote>
  <w:endnote w:id="24">
    <w:p w:rsidR="002F0519" w:rsidRPr="00035F84" w:rsidRDefault="002F0519" w:rsidP="00035F8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 </w:t>
      </w:r>
      <w:hyperlink r:id="rId27" w:history="1">
        <w:r w:rsidRPr="00035F8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Taipale H</w:t>
        </w:r>
      </w:hyperlink>
      <w:r w:rsidRPr="00035F84">
        <w:rPr>
          <w:rFonts w:cs="Tahoma"/>
          <w:sz w:val="18"/>
          <w:szCs w:val="18"/>
          <w:lang w:val="es-ES"/>
        </w:rPr>
        <w:t xml:space="preserve">, </w:t>
      </w:r>
      <w:hyperlink r:id="rId28" w:history="1">
        <w:r w:rsidRPr="00035F8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Tolppanen A-M</w:t>
        </w:r>
      </w:hyperlink>
      <w:r w:rsidRPr="00035F84">
        <w:rPr>
          <w:rFonts w:cs="Tahoma"/>
          <w:sz w:val="18"/>
          <w:szCs w:val="18"/>
          <w:lang w:val="es-ES"/>
        </w:rPr>
        <w:t xml:space="preserve">, </w:t>
      </w:r>
      <w:hyperlink r:id="rId29" w:history="1">
        <w:r w:rsidRPr="00035F8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Koponen M</w:t>
        </w:r>
      </w:hyperlink>
      <w:r w:rsidRPr="00035F84">
        <w:rPr>
          <w:rFonts w:cs="Tahoma"/>
          <w:sz w:val="18"/>
          <w:szCs w:val="18"/>
          <w:lang w:val="es-ES"/>
        </w:rPr>
        <w:t>, e</w:t>
      </w:r>
      <w:r w:rsidR="006A6044" w:rsidRPr="00035F84">
        <w:rPr>
          <w:rFonts w:cs="Tahoma"/>
          <w:sz w:val="18"/>
          <w:szCs w:val="18"/>
          <w:lang w:val="es-ES"/>
        </w:rPr>
        <w:t>t al. Can Med Assoc J 2017</w:t>
      </w:r>
      <w:proofErr w:type="gramStart"/>
      <w:r w:rsidR="006A6044" w:rsidRPr="00035F84">
        <w:rPr>
          <w:rFonts w:cs="Tahoma"/>
          <w:sz w:val="18"/>
          <w:szCs w:val="18"/>
          <w:lang w:val="es-ES"/>
        </w:rPr>
        <w:t>;189:</w:t>
      </w:r>
      <w:r w:rsidRPr="00035F84">
        <w:rPr>
          <w:rFonts w:cs="Tahoma"/>
          <w:sz w:val="18"/>
          <w:szCs w:val="18"/>
          <w:lang w:val="es-ES"/>
        </w:rPr>
        <w:t>E519</w:t>
      </w:r>
      <w:proofErr w:type="gramEnd"/>
      <w:r w:rsidRPr="00035F84">
        <w:rPr>
          <w:rFonts w:cs="Tahoma"/>
          <w:sz w:val="18"/>
          <w:szCs w:val="18"/>
          <w:lang w:val="es-ES"/>
        </w:rPr>
        <w:t xml:space="preserve">-E529. </w:t>
      </w:r>
      <w:hyperlink r:id="rId30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http://www.sietes.org/buscar/cita/101524</w:t>
        </w:r>
      </w:hyperlink>
      <w:r w:rsidRPr="00035F84">
        <w:rPr>
          <w:rFonts w:cs="Tahoma"/>
          <w:sz w:val="18"/>
          <w:szCs w:val="18"/>
          <w:lang w:val="es-ES"/>
        </w:rPr>
        <w:t xml:space="preserve"> </w:t>
      </w:r>
    </w:p>
  </w:endnote>
  <w:endnote w:id="25">
    <w:p w:rsidR="00035F84" w:rsidRPr="00035F84" w:rsidRDefault="00035F84" w:rsidP="00035F84">
      <w:pPr>
        <w:spacing w:after="120"/>
        <w:ind w:left="284" w:hanging="284"/>
        <w:rPr>
          <w:sz w:val="18"/>
          <w:szCs w:val="18"/>
          <w:lang w:val="es-ES"/>
        </w:rPr>
      </w:pPr>
      <w:r w:rsidRPr="00035F84">
        <w:rPr>
          <w:rStyle w:val="Refdenotaalfinal"/>
          <w:sz w:val="18"/>
          <w:szCs w:val="18"/>
        </w:rPr>
        <w:endnoteRef/>
      </w:r>
      <w:r w:rsidRPr="00035F8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035F84">
        <w:rPr>
          <w:sz w:val="18"/>
          <w:szCs w:val="18"/>
          <w:lang w:val="fr-FR"/>
        </w:rPr>
        <w:t xml:space="preserve">Vozoris NT, Wang X, Austin PC, Stephenson AL, et al. Eur Respir J 2018;52: </w:t>
      </w:r>
      <w:r w:rsidRPr="00035F84">
        <w:rPr>
          <w:rStyle w:val="highwire-cite-metadata-pages"/>
          <w:sz w:val="18"/>
          <w:szCs w:val="18"/>
          <w:lang w:val="fr-FR"/>
        </w:rPr>
        <w:t xml:space="preserve">1800475. </w:t>
      </w:r>
      <w:hyperlink r:id="rId31" w:history="1">
        <w:r w:rsidRPr="00035F84">
          <w:rPr>
            <w:rStyle w:val="Hipervnculo"/>
            <w:sz w:val="18"/>
            <w:szCs w:val="18"/>
            <w:lang w:val="es-ES"/>
          </w:rPr>
          <w:t>https://erj.ersjournals.com/content/52/1/1800475</w:t>
        </w:r>
      </w:hyperlink>
      <w:r w:rsidRPr="00035F84">
        <w:rPr>
          <w:rStyle w:val="highwire-cite-metadata-pages"/>
          <w:sz w:val="18"/>
          <w:szCs w:val="18"/>
          <w:lang w:val="es-ES"/>
        </w:rPr>
        <w:t xml:space="preserve"> </w:t>
      </w:r>
      <w:hyperlink r:id="rId32" w:history="1">
        <w:r w:rsidRPr="00035F84">
          <w:rPr>
            <w:rStyle w:val="Hipervnculo"/>
            <w:sz w:val="18"/>
            <w:szCs w:val="18"/>
            <w:lang w:val="es-ES"/>
          </w:rPr>
          <w:t>http://w</w:t>
        </w:r>
        <w:r w:rsidRPr="00035F84">
          <w:rPr>
            <w:rStyle w:val="Hipervnculo"/>
            <w:sz w:val="18"/>
            <w:szCs w:val="18"/>
            <w:lang w:val="es-ES"/>
          </w:rPr>
          <w:t>w</w:t>
        </w:r>
        <w:r w:rsidRPr="00035F84">
          <w:rPr>
            <w:rStyle w:val="Hipervnculo"/>
            <w:sz w:val="18"/>
            <w:szCs w:val="18"/>
            <w:lang w:val="es-ES"/>
          </w:rPr>
          <w:t>w.sietes.org/buscar/cita/102918</w:t>
        </w:r>
      </w:hyperlink>
      <w:r w:rsidRPr="00035F84">
        <w:rPr>
          <w:rStyle w:val="highwire-cite-metadata-pages"/>
          <w:sz w:val="18"/>
          <w:szCs w:val="18"/>
          <w:lang w:val="es-ES"/>
        </w:rPr>
        <w:t xml:space="preserve"> </w:t>
      </w:r>
    </w:p>
  </w:endnote>
  <w:endnote w:id="26">
    <w:p w:rsidR="002F0519" w:rsidRPr="00035F84" w:rsidRDefault="002F0519" w:rsidP="00035F8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</w:t>
      </w:r>
      <w:r w:rsidRPr="00035F84">
        <w:rPr>
          <w:rFonts w:cs="Tahoma"/>
          <w:sz w:val="18"/>
          <w:szCs w:val="18"/>
          <w:lang w:val="es-ES"/>
        </w:rPr>
        <w:tab/>
        <w:t>U.S. Food and Drug Administration. 19 de diciembre 2019</w:t>
      </w:r>
      <w:r w:rsidR="006A6044" w:rsidRPr="00035F84">
        <w:rPr>
          <w:rFonts w:cs="Tahoma"/>
          <w:sz w:val="18"/>
          <w:szCs w:val="18"/>
          <w:lang w:val="es-ES"/>
        </w:rPr>
        <w:t>.</w:t>
      </w:r>
      <w:r w:rsidRPr="00035F84">
        <w:rPr>
          <w:rFonts w:cs="Tahoma"/>
          <w:sz w:val="18"/>
          <w:szCs w:val="18"/>
          <w:lang w:val="es-ES"/>
        </w:rPr>
        <w:t xml:space="preserve"> </w:t>
      </w:r>
      <w:hyperlink r:id="rId33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http://www.sietes.org/buscar/cita/</w:t>
        </w:r>
        <w:r w:rsidRPr="00035F84">
          <w:rPr>
            <w:rStyle w:val="Hipervnculo"/>
            <w:rFonts w:cs="Tahoma"/>
            <w:noProof/>
            <w:sz w:val="18"/>
            <w:szCs w:val="18"/>
            <w:lang w:val="es-ES"/>
          </w:rPr>
          <w:t>103209</w:t>
        </w:r>
      </w:hyperlink>
      <w:r w:rsidRPr="00035F84">
        <w:rPr>
          <w:rFonts w:cs="Tahoma"/>
          <w:noProof/>
          <w:sz w:val="18"/>
          <w:szCs w:val="18"/>
          <w:lang w:val="es-ES"/>
        </w:rPr>
        <w:t xml:space="preserve"> </w:t>
      </w:r>
    </w:p>
  </w:endnote>
  <w:endnote w:id="27">
    <w:p w:rsidR="002F0519" w:rsidRPr="00035F84" w:rsidRDefault="002F0519" w:rsidP="00035F8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</w:t>
      </w:r>
      <w:r w:rsidRPr="00035F84">
        <w:rPr>
          <w:rFonts w:cs="Tahoma"/>
          <w:sz w:val="18"/>
          <w:szCs w:val="18"/>
          <w:lang w:val="es-ES"/>
        </w:rPr>
        <w:tab/>
        <w:t>Attal N, Barrot M. N Engl J Med 2017</w:t>
      </w:r>
      <w:proofErr w:type="gramStart"/>
      <w:r w:rsidRPr="00035F84">
        <w:rPr>
          <w:rFonts w:cs="Tahoma"/>
          <w:sz w:val="18"/>
          <w:szCs w:val="18"/>
          <w:lang w:val="es-ES"/>
        </w:rPr>
        <w:t>;376:1169</w:t>
      </w:r>
      <w:proofErr w:type="gramEnd"/>
      <w:r w:rsidRPr="00035F84">
        <w:rPr>
          <w:rFonts w:cs="Tahoma"/>
          <w:sz w:val="18"/>
          <w:szCs w:val="18"/>
          <w:lang w:val="es-ES"/>
        </w:rPr>
        <w:t xml:space="preserve">-70. </w:t>
      </w:r>
      <w:hyperlink r:id="rId34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http://www.sietes.org/buscar/cita/</w:t>
        </w:r>
        <w:r w:rsidRPr="00035F84">
          <w:rPr>
            <w:rStyle w:val="Hipervnculo"/>
            <w:rFonts w:cs="Tahoma"/>
            <w:noProof/>
            <w:sz w:val="18"/>
            <w:szCs w:val="18"/>
            <w:lang w:val="es-ES"/>
          </w:rPr>
          <w:t>101504</w:t>
        </w:r>
      </w:hyperlink>
      <w:r w:rsidRPr="00035F84">
        <w:rPr>
          <w:rFonts w:cs="Tahoma"/>
          <w:noProof/>
          <w:sz w:val="18"/>
          <w:szCs w:val="18"/>
          <w:lang w:val="es-ES"/>
        </w:rPr>
        <w:t xml:space="preserve"> </w:t>
      </w:r>
    </w:p>
  </w:endnote>
  <w:endnote w:id="28">
    <w:p w:rsidR="002F0519" w:rsidRPr="00035F84" w:rsidRDefault="002F0519" w:rsidP="00035F8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</w:t>
      </w:r>
      <w:r w:rsidRPr="00035F84">
        <w:rPr>
          <w:rFonts w:cs="Tahoma"/>
          <w:sz w:val="18"/>
          <w:szCs w:val="18"/>
          <w:lang w:val="es-ES"/>
        </w:rPr>
        <w:tab/>
        <w:t>Mathieson S, C</w:t>
      </w:r>
      <w:r w:rsidR="006A6044" w:rsidRPr="00035F84">
        <w:rPr>
          <w:rFonts w:cs="Tahoma"/>
          <w:sz w:val="18"/>
          <w:szCs w:val="18"/>
          <w:lang w:val="es-ES"/>
        </w:rPr>
        <w:t xml:space="preserve">hiro M, Maher CG, </w:t>
      </w:r>
      <w:r w:rsidRPr="00035F84">
        <w:rPr>
          <w:rFonts w:cs="Tahoma"/>
          <w:sz w:val="18"/>
          <w:szCs w:val="18"/>
          <w:lang w:val="es-ES"/>
        </w:rPr>
        <w:t>et al. N Engl J Med 2017</w:t>
      </w:r>
      <w:proofErr w:type="gramStart"/>
      <w:r w:rsidRPr="00035F84">
        <w:rPr>
          <w:rFonts w:cs="Tahoma"/>
          <w:sz w:val="18"/>
          <w:szCs w:val="18"/>
          <w:lang w:val="es-ES"/>
        </w:rPr>
        <w:t>;376:1111</w:t>
      </w:r>
      <w:proofErr w:type="gramEnd"/>
      <w:r w:rsidRPr="00035F84">
        <w:rPr>
          <w:rFonts w:cs="Tahoma"/>
          <w:sz w:val="18"/>
          <w:szCs w:val="18"/>
          <w:lang w:val="es-ES"/>
        </w:rPr>
        <w:t xml:space="preserve">-20. </w:t>
      </w:r>
      <w:hyperlink r:id="rId35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http://www.sietes.org/buscar/cita/</w:t>
        </w:r>
        <w:r w:rsidRPr="00035F84">
          <w:rPr>
            <w:rStyle w:val="Hipervnculo"/>
            <w:rFonts w:cs="Tahoma"/>
            <w:noProof/>
            <w:sz w:val="18"/>
            <w:szCs w:val="18"/>
            <w:lang w:val="es-ES"/>
          </w:rPr>
          <w:t>101483</w:t>
        </w:r>
      </w:hyperlink>
      <w:r w:rsidRPr="00035F84">
        <w:rPr>
          <w:rFonts w:cs="Tahoma"/>
          <w:noProof/>
          <w:sz w:val="18"/>
          <w:szCs w:val="18"/>
          <w:lang w:val="es-ES"/>
        </w:rPr>
        <w:t xml:space="preserve"> </w:t>
      </w:r>
    </w:p>
  </w:endnote>
  <w:endnote w:id="29">
    <w:p w:rsidR="002F0519" w:rsidRPr="00035F84" w:rsidRDefault="002F0519" w:rsidP="00035F8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</w:t>
      </w:r>
      <w:r w:rsidRPr="00035F84">
        <w:rPr>
          <w:rFonts w:cs="Tahoma"/>
          <w:sz w:val="18"/>
          <w:szCs w:val="18"/>
          <w:lang w:val="es-ES"/>
        </w:rPr>
        <w:tab/>
        <w:t>Ortiz de Landaluce L, Ca</w:t>
      </w:r>
      <w:r w:rsidR="006A6044" w:rsidRPr="00035F84">
        <w:rPr>
          <w:rFonts w:cs="Tahoma"/>
          <w:sz w:val="18"/>
          <w:szCs w:val="18"/>
          <w:lang w:val="es-ES"/>
        </w:rPr>
        <w:t xml:space="preserve">rbonell P, Asensio C, </w:t>
      </w:r>
      <w:r w:rsidRPr="00035F84">
        <w:rPr>
          <w:rFonts w:cs="Tahoma"/>
          <w:sz w:val="18"/>
          <w:szCs w:val="18"/>
          <w:lang w:val="es-ES"/>
        </w:rPr>
        <w:t>et al. Drug Saf 2018</w:t>
      </w:r>
      <w:proofErr w:type="gramStart"/>
      <w:r w:rsidRPr="00035F84">
        <w:rPr>
          <w:rFonts w:cs="Tahoma"/>
          <w:sz w:val="18"/>
          <w:szCs w:val="18"/>
          <w:lang w:val="es-ES"/>
        </w:rPr>
        <w:t>;41:1325</w:t>
      </w:r>
      <w:proofErr w:type="gramEnd"/>
      <w:r w:rsidRPr="00035F84">
        <w:rPr>
          <w:rFonts w:cs="Tahoma"/>
          <w:sz w:val="18"/>
          <w:szCs w:val="18"/>
          <w:lang w:val="es-ES"/>
        </w:rPr>
        <w:t xml:space="preserve">-31. </w:t>
      </w:r>
      <w:hyperlink r:id="rId36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http://www.sietes.org/buscar/cita/</w:t>
        </w:r>
        <w:r w:rsidRPr="00035F84">
          <w:rPr>
            <w:rStyle w:val="Hipervnculo"/>
            <w:rFonts w:cs="Tahoma"/>
            <w:noProof/>
            <w:sz w:val="18"/>
            <w:szCs w:val="18"/>
            <w:lang w:val="es-ES"/>
          </w:rPr>
          <w:t>102913</w:t>
        </w:r>
      </w:hyperlink>
      <w:r w:rsidRPr="00035F84">
        <w:rPr>
          <w:rFonts w:cs="Tahoma"/>
          <w:noProof/>
          <w:sz w:val="18"/>
          <w:szCs w:val="18"/>
          <w:lang w:val="es-ES"/>
        </w:rPr>
        <w:t xml:space="preserve"> </w:t>
      </w:r>
    </w:p>
  </w:endnote>
  <w:endnote w:id="30">
    <w:p w:rsidR="002F0519" w:rsidRPr="00035F84" w:rsidRDefault="002F0519" w:rsidP="00035F8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</w:t>
      </w:r>
      <w:r w:rsidRPr="00035F84">
        <w:rPr>
          <w:rFonts w:cs="Tahoma"/>
          <w:sz w:val="18"/>
          <w:szCs w:val="18"/>
          <w:lang w:val="es-ES"/>
        </w:rPr>
        <w:tab/>
        <w:t xml:space="preserve">Butlletí Groc. </w:t>
      </w:r>
      <w:hyperlink r:id="rId37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https://www.icf.uab.cat/ca/download/enllac/assets/pdf/pr</w:t>
        </w:r>
        <w:r w:rsidRPr="00035F84">
          <w:rPr>
            <w:rStyle w:val="Hipervnculo"/>
            <w:rFonts w:cs="Tahoma"/>
            <w:sz w:val="18"/>
            <w:szCs w:val="18"/>
            <w:lang w:val="es-ES"/>
          </w:rPr>
          <w:t>o</w:t>
        </w:r>
        <w:r w:rsidRPr="00035F84">
          <w:rPr>
            <w:rStyle w:val="Hipervnculo"/>
            <w:rFonts w:cs="Tahoma"/>
            <w:sz w:val="18"/>
            <w:szCs w:val="18"/>
            <w:lang w:val="es-ES"/>
          </w:rPr>
          <w:t>ductes/bg/ca/bg291.16c.pdf</w:t>
        </w:r>
      </w:hyperlink>
      <w:r w:rsidRPr="00035F84">
        <w:rPr>
          <w:rFonts w:cs="Tahoma"/>
          <w:sz w:val="18"/>
          <w:szCs w:val="18"/>
          <w:lang w:val="es-ES"/>
        </w:rPr>
        <w:t xml:space="preserve"> </w:t>
      </w:r>
    </w:p>
  </w:endnote>
  <w:endnote w:id="31">
    <w:p w:rsidR="002F0519" w:rsidRPr="00035F84" w:rsidRDefault="002F0519" w:rsidP="00035F84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</w:t>
      </w:r>
      <w:r w:rsidRPr="00035F84">
        <w:rPr>
          <w:rFonts w:cs="Tahoma"/>
          <w:sz w:val="18"/>
          <w:szCs w:val="18"/>
          <w:lang w:val="es-ES"/>
        </w:rPr>
        <w:tab/>
      </w:r>
      <w:r w:rsidRPr="00035F84">
        <w:rPr>
          <w:rStyle w:val="A4"/>
          <w:rFonts w:cs="Tahoma"/>
          <w:sz w:val="18"/>
          <w:szCs w:val="18"/>
          <w:lang w:val="es-ES"/>
        </w:rPr>
        <w:t>Eom CS, Jeon CY, Lim JW, Cho EG, et al. CMAJ 2011</w:t>
      </w:r>
      <w:proofErr w:type="gramStart"/>
      <w:r w:rsidRPr="00035F84">
        <w:rPr>
          <w:rStyle w:val="A4"/>
          <w:rFonts w:cs="Tahoma"/>
          <w:sz w:val="18"/>
          <w:szCs w:val="18"/>
          <w:lang w:val="es-ES"/>
        </w:rPr>
        <w:t>;183:310</w:t>
      </w:r>
      <w:proofErr w:type="gramEnd"/>
      <w:r w:rsidRPr="00035F84">
        <w:rPr>
          <w:rStyle w:val="A4"/>
          <w:rFonts w:cs="Tahoma"/>
          <w:sz w:val="18"/>
          <w:szCs w:val="18"/>
          <w:lang w:val="es-ES"/>
        </w:rPr>
        <w:t xml:space="preserve">-19. </w:t>
      </w:r>
      <w:hyperlink r:id="rId38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https://www.cmaj.ca/content/183/3/310</w:t>
        </w:r>
      </w:hyperlink>
      <w:r w:rsidRPr="00035F84">
        <w:rPr>
          <w:rStyle w:val="A4"/>
          <w:rFonts w:cs="Tahoma"/>
          <w:sz w:val="18"/>
          <w:szCs w:val="18"/>
          <w:lang w:val="es-ES"/>
        </w:rPr>
        <w:t xml:space="preserve"> </w:t>
      </w:r>
    </w:p>
  </w:endnote>
  <w:endnote w:id="32">
    <w:p w:rsidR="002F0519" w:rsidRPr="00035F84" w:rsidRDefault="002F0519" w:rsidP="00035F84">
      <w:pPr>
        <w:pStyle w:val="Default"/>
        <w:spacing w:after="120"/>
        <w:ind w:left="284" w:hanging="284"/>
        <w:rPr>
          <w:rFonts w:ascii="Tahoma" w:hAnsi="Tahoma" w:cs="Tahoma"/>
          <w:sz w:val="18"/>
          <w:szCs w:val="18"/>
          <w:lang w:val="es-ES"/>
        </w:rPr>
      </w:pPr>
      <w:r w:rsidRPr="00035F84">
        <w:rPr>
          <w:rStyle w:val="Refdenotaalfinal"/>
          <w:rFonts w:ascii="Tahoma" w:hAnsi="Tahoma" w:cs="Tahoma"/>
          <w:sz w:val="18"/>
          <w:szCs w:val="18"/>
          <w:lang w:val="es-ES"/>
        </w:rPr>
        <w:endnoteRef/>
      </w:r>
      <w:r w:rsidRPr="00035F84">
        <w:rPr>
          <w:rFonts w:ascii="Tahoma" w:hAnsi="Tahoma" w:cs="Tahoma"/>
          <w:sz w:val="18"/>
          <w:szCs w:val="18"/>
          <w:lang w:val="es-ES"/>
        </w:rPr>
        <w:t xml:space="preserve"> </w:t>
      </w:r>
      <w:r w:rsidRPr="00035F84">
        <w:rPr>
          <w:rFonts w:ascii="Tahoma" w:hAnsi="Tahoma" w:cs="Tahoma"/>
          <w:sz w:val="18"/>
          <w:szCs w:val="18"/>
          <w:lang w:val="es-ES"/>
        </w:rPr>
        <w:tab/>
      </w:r>
      <w:r w:rsidRPr="00035F84">
        <w:rPr>
          <w:rStyle w:val="A4"/>
          <w:rFonts w:ascii="Tahoma" w:hAnsi="Tahoma" w:cs="Tahoma"/>
          <w:sz w:val="18"/>
          <w:szCs w:val="18"/>
          <w:lang w:val="es-ES"/>
        </w:rPr>
        <w:t>Lambert AA, Lam JO, Pa</w:t>
      </w:r>
      <w:r w:rsidR="006A6044" w:rsidRPr="00035F84">
        <w:rPr>
          <w:rStyle w:val="A4"/>
          <w:rFonts w:ascii="Tahoma" w:hAnsi="Tahoma" w:cs="Tahoma"/>
          <w:sz w:val="18"/>
          <w:szCs w:val="18"/>
          <w:lang w:val="es-ES"/>
        </w:rPr>
        <w:t xml:space="preserve">ik JJ, </w:t>
      </w:r>
      <w:r w:rsidRPr="00035F84">
        <w:rPr>
          <w:rStyle w:val="A4"/>
          <w:rFonts w:ascii="Tahoma" w:hAnsi="Tahoma" w:cs="Tahoma"/>
          <w:sz w:val="18"/>
          <w:szCs w:val="18"/>
          <w:lang w:val="es-ES"/>
        </w:rPr>
        <w:t>et al. PLoS One 2015</w:t>
      </w:r>
      <w:proofErr w:type="gramStart"/>
      <w:r w:rsidRPr="00035F84">
        <w:rPr>
          <w:rStyle w:val="A4"/>
          <w:rFonts w:ascii="Tahoma" w:hAnsi="Tahoma" w:cs="Tahoma"/>
          <w:sz w:val="18"/>
          <w:szCs w:val="18"/>
          <w:lang w:val="es-ES"/>
        </w:rPr>
        <w:t>;10:e0128004</w:t>
      </w:r>
      <w:proofErr w:type="gramEnd"/>
      <w:r w:rsidRPr="00035F84">
        <w:rPr>
          <w:rStyle w:val="A4"/>
          <w:rFonts w:ascii="Tahoma" w:hAnsi="Tahoma" w:cs="Tahoma"/>
          <w:sz w:val="18"/>
          <w:szCs w:val="18"/>
          <w:lang w:val="es-ES"/>
        </w:rPr>
        <w:t xml:space="preserve">. </w:t>
      </w:r>
      <w:hyperlink r:id="rId39" w:history="1">
        <w:r w:rsidRPr="00035F84">
          <w:rPr>
            <w:rStyle w:val="Hipervnculo"/>
            <w:rFonts w:ascii="Tahoma" w:hAnsi="Tahoma" w:cs="Tahoma"/>
            <w:sz w:val="18"/>
            <w:szCs w:val="18"/>
            <w:lang w:val="es-ES"/>
          </w:rPr>
          <w:t>https://www.ncbi.nlm.nih.gov/pubmed/26042842</w:t>
        </w:r>
      </w:hyperlink>
      <w:r w:rsidRPr="00035F84">
        <w:rPr>
          <w:rStyle w:val="A4"/>
          <w:rFonts w:ascii="Tahoma" w:hAnsi="Tahoma" w:cs="Tahoma"/>
          <w:sz w:val="18"/>
          <w:szCs w:val="18"/>
          <w:lang w:val="es-ES"/>
        </w:rPr>
        <w:t xml:space="preserve"> </w:t>
      </w:r>
    </w:p>
  </w:endnote>
  <w:endnote w:id="33">
    <w:p w:rsidR="002F0519" w:rsidRPr="00035F84" w:rsidRDefault="002F0519" w:rsidP="00035F8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</w:t>
      </w:r>
      <w:r w:rsidRPr="00035F84">
        <w:rPr>
          <w:rFonts w:cs="Tahoma"/>
          <w:sz w:val="18"/>
          <w:szCs w:val="18"/>
          <w:lang w:val="es-ES"/>
        </w:rPr>
        <w:tab/>
      </w:r>
      <w:hyperlink r:id="rId40" w:history="1">
        <w:r w:rsidRPr="00035F8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Othman F</w:t>
        </w:r>
      </w:hyperlink>
      <w:r w:rsidRPr="00035F84">
        <w:rPr>
          <w:rFonts w:cs="Tahoma"/>
          <w:sz w:val="18"/>
          <w:szCs w:val="18"/>
          <w:lang w:val="es-ES"/>
        </w:rPr>
        <w:t xml:space="preserve">, </w:t>
      </w:r>
      <w:hyperlink r:id="rId41" w:history="1">
        <w:r w:rsidRPr="00035F8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Crooks CJ</w:t>
        </w:r>
      </w:hyperlink>
      <w:r w:rsidRPr="00035F84">
        <w:rPr>
          <w:rFonts w:cs="Tahoma"/>
          <w:sz w:val="18"/>
          <w:szCs w:val="18"/>
          <w:lang w:val="es-ES"/>
        </w:rPr>
        <w:t>, Card TR. BMJ 2016</w:t>
      </w:r>
      <w:proofErr w:type="gramStart"/>
      <w:r w:rsidRPr="00035F84">
        <w:rPr>
          <w:rFonts w:cs="Tahoma"/>
          <w:sz w:val="18"/>
          <w:szCs w:val="18"/>
          <w:lang w:val="es-ES"/>
        </w:rPr>
        <w:t>;355:i5813</w:t>
      </w:r>
      <w:proofErr w:type="gramEnd"/>
      <w:r w:rsidRPr="00035F84">
        <w:rPr>
          <w:rFonts w:cs="Tahoma"/>
          <w:sz w:val="18"/>
          <w:szCs w:val="18"/>
          <w:lang w:val="es-ES"/>
        </w:rPr>
        <w:t xml:space="preserve">. </w:t>
      </w:r>
      <w:hyperlink r:id="rId42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http://www.sietes.org/buscar/cita/</w:t>
        </w:r>
        <w:r w:rsidRPr="00035F84">
          <w:rPr>
            <w:rStyle w:val="Hipervnculo"/>
            <w:rFonts w:cs="Tahoma"/>
            <w:noProof/>
            <w:sz w:val="18"/>
            <w:szCs w:val="18"/>
            <w:lang w:val="es-ES"/>
          </w:rPr>
          <w:t>100941</w:t>
        </w:r>
      </w:hyperlink>
      <w:r w:rsidRPr="00035F84">
        <w:rPr>
          <w:rFonts w:cs="Tahoma"/>
          <w:noProof/>
          <w:sz w:val="18"/>
          <w:szCs w:val="18"/>
          <w:lang w:val="es-ES"/>
        </w:rPr>
        <w:t xml:space="preserve">  </w:t>
      </w:r>
    </w:p>
  </w:endnote>
  <w:endnote w:id="34">
    <w:p w:rsidR="002F0519" w:rsidRPr="006A6044" w:rsidRDefault="002F0519" w:rsidP="00035F8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035F84">
        <w:rPr>
          <w:rStyle w:val="Refdenotaalfinal"/>
          <w:rFonts w:cs="Tahoma"/>
          <w:sz w:val="18"/>
          <w:szCs w:val="18"/>
          <w:lang w:val="es-ES"/>
        </w:rPr>
        <w:endnoteRef/>
      </w:r>
      <w:r w:rsidRPr="00035F84">
        <w:rPr>
          <w:rFonts w:cs="Tahoma"/>
          <w:sz w:val="18"/>
          <w:szCs w:val="18"/>
          <w:lang w:val="es-ES"/>
        </w:rPr>
        <w:t xml:space="preserve"> </w:t>
      </w:r>
      <w:r w:rsidRPr="00035F84">
        <w:rPr>
          <w:rFonts w:cs="Tahoma"/>
          <w:sz w:val="18"/>
          <w:szCs w:val="18"/>
          <w:lang w:val="es-ES"/>
        </w:rPr>
        <w:tab/>
        <w:t xml:space="preserve">Herzig SJ, </w:t>
      </w:r>
      <w:r w:rsidR="006A6044" w:rsidRPr="00035F84">
        <w:rPr>
          <w:rFonts w:cs="Tahoma"/>
          <w:sz w:val="18"/>
          <w:szCs w:val="18"/>
          <w:lang w:val="es-ES"/>
        </w:rPr>
        <w:t xml:space="preserve">Doughty C, Marchina S, </w:t>
      </w:r>
      <w:r w:rsidRPr="00035F84">
        <w:rPr>
          <w:rFonts w:cs="Tahoma"/>
          <w:sz w:val="18"/>
          <w:szCs w:val="18"/>
          <w:lang w:val="es-ES"/>
        </w:rPr>
        <w:t>et al. Ann Neurol 2014</w:t>
      </w:r>
      <w:proofErr w:type="gramStart"/>
      <w:r w:rsidRPr="00035F84">
        <w:rPr>
          <w:rFonts w:cs="Tahoma"/>
          <w:sz w:val="18"/>
          <w:szCs w:val="18"/>
          <w:lang w:val="es-ES"/>
        </w:rPr>
        <w:t>;76:712</w:t>
      </w:r>
      <w:proofErr w:type="gramEnd"/>
      <w:r w:rsidRPr="00035F84">
        <w:rPr>
          <w:rFonts w:cs="Tahoma"/>
          <w:sz w:val="18"/>
          <w:szCs w:val="18"/>
          <w:lang w:val="es-ES"/>
        </w:rPr>
        <w:t xml:space="preserve">-18. </w:t>
      </w:r>
      <w:hyperlink r:id="rId43" w:history="1">
        <w:r w:rsidRPr="00035F84">
          <w:rPr>
            <w:rStyle w:val="Hipervnculo"/>
            <w:rFonts w:cs="Tahoma"/>
            <w:sz w:val="18"/>
            <w:szCs w:val="18"/>
            <w:lang w:val="es-ES"/>
          </w:rPr>
          <w:t>http://www.sietes.org/buscar/cita/</w:t>
        </w:r>
        <w:r w:rsidRPr="00035F84">
          <w:rPr>
            <w:rStyle w:val="Hipervnculo"/>
            <w:rFonts w:cs="Tahoma"/>
            <w:noProof/>
            <w:sz w:val="18"/>
            <w:szCs w:val="18"/>
            <w:lang w:val="es-ES"/>
          </w:rPr>
          <w:t>98376</w:t>
        </w:r>
      </w:hyperlink>
      <w:r w:rsidRPr="006A6044">
        <w:rPr>
          <w:rFonts w:cs="Tahoma"/>
          <w:noProof/>
          <w:sz w:val="18"/>
          <w:szCs w:val="18"/>
          <w:lang w:val="es-ES"/>
        </w:rPr>
        <w:t xml:space="preserve"> </w:t>
      </w:r>
    </w:p>
  </w:endnote>
  <w:endnote w:id="35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>Bateman BT, Bykov</w:t>
      </w:r>
      <w:r w:rsidR="006A6044" w:rsidRPr="006A6044">
        <w:rPr>
          <w:rFonts w:cs="Tahoma"/>
          <w:sz w:val="18"/>
          <w:szCs w:val="18"/>
          <w:lang w:val="es-ES"/>
        </w:rPr>
        <w:t xml:space="preserve"> K, Choudhry NK, </w:t>
      </w:r>
      <w:r w:rsidRPr="006A6044">
        <w:rPr>
          <w:rFonts w:cs="Tahoma"/>
          <w:sz w:val="18"/>
          <w:szCs w:val="18"/>
          <w:lang w:val="es-ES"/>
        </w:rPr>
        <w:t>et al. BMJ 2013</w:t>
      </w:r>
      <w:proofErr w:type="gramStart"/>
      <w:r w:rsidRPr="006A6044">
        <w:rPr>
          <w:rFonts w:cs="Tahoma"/>
          <w:sz w:val="18"/>
          <w:szCs w:val="18"/>
          <w:lang w:val="es-ES"/>
        </w:rPr>
        <w:t>;347:13</w:t>
      </w:r>
      <w:proofErr w:type="gramEnd"/>
      <w:r w:rsidRPr="006A6044">
        <w:rPr>
          <w:rFonts w:cs="Tahoma"/>
          <w:sz w:val="18"/>
          <w:szCs w:val="18"/>
          <w:lang w:val="es-ES"/>
        </w:rPr>
        <w:t xml:space="preserve">. </w:t>
      </w:r>
      <w:hyperlink r:id="rId44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</w:t>
        </w:r>
        <w:r w:rsidRPr="006A6044">
          <w:rPr>
            <w:rStyle w:val="Hipervnculo"/>
            <w:rFonts w:cs="Tahoma"/>
            <w:noProof/>
            <w:sz w:val="18"/>
            <w:szCs w:val="18"/>
            <w:lang w:val="es-ES"/>
          </w:rPr>
          <w:t>96347</w:t>
        </w:r>
      </w:hyperlink>
    </w:p>
  </w:endnote>
  <w:endnote w:id="36">
    <w:p w:rsidR="002F0519" w:rsidRPr="006A6044" w:rsidRDefault="002F0519" w:rsidP="006A6044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 xml:space="preserve">CatSalut. </w:t>
      </w:r>
      <w:hyperlink r:id="rId45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http://medicaments.gencat.cat/ca/professionals/seguretat/fitxes-seguretat/inhibidors-de-la-bomba-de-protons/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37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Gau JT, </w:t>
      </w:r>
      <w:hyperlink r:id="rId46" w:history="1">
        <w:r w:rsidRPr="006A604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Acharya U</w:t>
        </w:r>
      </w:hyperlink>
      <w:r w:rsidRPr="006A6044">
        <w:rPr>
          <w:rFonts w:cs="Tahoma"/>
          <w:sz w:val="18"/>
          <w:szCs w:val="18"/>
          <w:lang w:val="es-ES"/>
        </w:rPr>
        <w:t xml:space="preserve">, Khan S, </w:t>
      </w:r>
      <w:hyperlink r:id="rId47" w:history="1">
        <w:r w:rsidRPr="006A604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Heh V</w:t>
        </w:r>
      </w:hyperlink>
      <w:r w:rsidRPr="006A6044">
        <w:rPr>
          <w:rFonts w:cs="Tahoma"/>
          <w:sz w:val="18"/>
          <w:szCs w:val="18"/>
          <w:lang w:val="es-ES"/>
        </w:rPr>
        <w:t xml:space="preserve">, et al. </w:t>
      </w:r>
      <w:hyperlink r:id="rId48" w:tooltip="BMC geriatrics." w:history="1">
        <w:r w:rsidRPr="006A604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BMC Geriatr</w:t>
        </w:r>
      </w:hyperlink>
      <w:r w:rsidRPr="006A6044">
        <w:rPr>
          <w:rFonts w:cs="Tahoma"/>
          <w:sz w:val="18"/>
          <w:szCs w:val="18"/>
          <w:lang w:val="es-ES"/>
        </w:rPr>
        <w:t xml:space="preserve"> 2010</w:t>
      </w:r>
      <w:proofErr w:type="gramStart"/>
      <w:r w:rsidRPr="006A6044">
        <w:rPr>
          <w:rFonts w:cs="Tahoma"/>
          <w:sz w:val="18"/>
          <w:szCs w:val="18"/>
          <w:lang w:val="es-ES"/>
        </w:rPr>
        <w:t>;10:45</w:t>
      </w:r>
      <w:proofErr w:type="gramEnd"/>
      <w:r w:rsidRPr="006A6044">
        <w:rPr>
          <w:rFonts w:cs="Tahoma"/>
          <w:sz w:val="18"/>
          <w:szCs w:val="18"/>
          <w:lang w:val="es-ES"/>
        </w:rPr>
        <w:t xml:space="preserve">.  </w:t>
      </w:r>
      <w:hyperlink r:id="rId49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https://www.ncbi.nlm.nih.gov/pubmed/20604960</w:t>
        </w:r>
      </w:hyperlink>
    </w:p>
  </w:endnote>
  <w:endnote w:id="38">
    <w:p w:rsidR="002F0519" w:rsidRPr="006A6044" w:rsidRDefault="002F0519" w:rsidP="006A6044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 xml:space="preserve">CatSalut. </w:t>
      </w:r>
      <w:hyperlink r:id="rId50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http://medicaments.gencat.cat/ca/professionals/seguretat/fitxes-seguretat/riscos-associats-a-lus-simultani-de-diversos-psicofarmacs-en-gent-gran-II-desembre-16/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39">
    <w:p w:rsidR="002F0519" w:rsidRPr="006A6044" w:rsidRDefault="002F0519" w:rsidP="006A6044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</w:t>
      </w:r>
      <w:r w:rsidRPr="006A6044">
        <w:rPr>
          <w:rFonts w:cs="Tahoma"/>
          <w:sz w:val="18"/>
          <w:szCs w:val="18"/>
          <w:lang w:val="es-ES"/>
        </w:rPr>
        <w:tab/>
        <w:t xml:space="preserve">CatSalut. </w:t>
      </w:r>
      <w:hyperlink r:id="rId51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http://medicaments.gencat.cat/ca/professionals/seguretat/fitxes-seguretat/riesgos-associats-a-lus-simultani-de-varios-psicofarmacs-en-gent-gran-I-desembre-16/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40">
    <w:p w:rsidR="00B73742" w:rsidRPr="006A6044" w:rsidRDefault="00B73742" w:rsidP="00B73742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>
        <w:rPr>
          <w:sz w:val="18"/>
          <w:szCs w:val="18"/>
        </w:rPr>
        <w:t xml:space="preserve"> </w:t>
      </w:r>
      <w:r w:rsidRPr="00B14968">
        <w:rPr>
          <w:rStyle w:val="Refdenotaalfinal"/>
          <w:sz w:val="18"/>
          <w:szCs w:val="18"/>
        </w:rPr>
        <w:endnoteRef/>
      </w:r>
      <w:r w:rsidRPr="00B14968">
        <w:rPr>
          <w:sz w:val="18"/>
          <w:szCs w:val="18"/>
        </w:rPr>
        <w:t xml:space="preserve"> </w:t>
      </w:r>
      <w:r>
        <w:tab/>
      </w:r>
      <w:hyperlink r:id="rId52" w:history="1">
        <w:r w:rsidRPr="006A604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Qian CJ</w:t>
        </w:r>
      </w:hyperlink>
      <w:r w:rsidRPr="006A6044">
        <w:rPr>
          <w:rFonts w:cs="Tahoma"/>
          <w:sz w:val="18"/>
          <w:szCs w:val="18"/>
          <w:lang w:val="es-ES"/>
        </w:rPr>
        <w:t xml:space="preserve">, </w:t>
      </w:r>
      <w:hyperlink r:id="rId53" w:history="1">
        <w:r w:rsidRPr="006A604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Coulomb J</w:t>
        </w:r>
      </w:hyperlink>
      <w:r w:rsidRPr="006A6044">
        <w:rPr>
          <w:rFonts w:cs="Tahoma"/>
          <w:sz w:val="18"/>
          <w:szCs w:val="18"/>
          <w:lang w:val="es-ES"/>
        </w:rPr>
        <w:t xml:space="preserve">, </w:t>
      </w:r>
      <w:hyperlink r:id="rId54" w:history="1">
        <w:r w:rsidRPr="006A604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Suissa S</w:t>
        </w:r>
      </w:hyperlink>
      <w:r w:rsidRPr="006A6044">
        <w:rPr>
          <w:rFonts w:cs="Tahoma"/>
          <w:sz w:val="18"/>
          <w:szCs w:val="18"/>
          <w:lang w:val="es-ES"/>
        </w:rPr>
        <w:t>, Ernst P. Br J Clin Pharmacol 2017</w:t>
      </w:r>
      <w:proofErr w:type="gramStart"/>
      <w:r w:rsidRPr="006A6044">
        <w:rPr>
          <w:rFonts w:cs="Tahoma"/>
          <w:sz w:val="18"/>
          <w:szCs w:val="18"/>
          <w:lang w:val="es-ES"/>
        </w:rPr>
        <w:t>;83:2077</w:t>
      </w:r>
      <w:proofErr w:type="gramEnd"/>
      <w:r w:rsidRPr="006A6044">
        <w:rPr>
          <w:rFonts w:cs="Tahoma"/>
          <w:sz w:val="18"/>
          <w:szCs w:val="18"/>
          <w:lang w:val="es-ES"/>
        </w:rPr>
        <w:t xml:space="preserve">-86. </w:t>
      </w:r>
      <w:hyperlink r:id="rId55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http://www.sietes.org/buscar/cita/102031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41">
    <w:p w:rsidR="00B73742" w:rsidRPr="006A6044" w:rsidRDefault="00B73742" w:rsidP="00B73742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s-ES"/>
        </w:rPr>
      </w:pPr>
      <w:r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 </w:t>
      </w:r>
      <w:r w:rsidRPr="006A6044">
        <w:rPr>
          <w:rFonts w:cs="Tahoma"/>
          <w:sz w:val="18"/>
          <w:szCs w:val="18"/>
          <w:lang w:val="es-ES"/>
        </w:rPr>
        <w:tab/>
        <w:t xml:space="preserve">Agencia </w:t>
      </w:r>
      <w:proofErr w:type="gramStart"/>
      <w:r w:rsidRPr="006A6044">
        <w:rPr>
          <w:rFonts w:cs="Tahoma"/>
          <w:sz w:val="18"/>
          <w:szCs w:val="18"/>
          <w:lang w:val="es-ES"/>
        </w:rPr>
        <w:t>Española</w:t>
      </w:r>
      <w:proofErr w:type="gramEnd"/>
      <w:r w:rsidRPr="006A6044">
        <w:rPr>
          <w:rFonts w:cs="Tahoma"/>
          <w:sz w:val="18"/>
          <w:szCs w:val="18"/>
          <w:lang w:val="es-ES"/>
        </w:rPr>
        <w:t xml:space="preserve"> de Medicamentos y Productos Sanitarios. 18 de marzo de 2016. </w:t>
      </w:r>
      <w:hyperlink r:id="rId56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http://www.sietes.org/buscar/cita/100075</w:t>
        </w:r>
      </w:hyperlink>
    </w:p>
  </w:endnote>
  <w:endnote w:id="42">
    <w:p w:rsidR="00B73742" w:rsidRPr="00B73742" w:rsidRDefault="00B73742" w:rsidP="00B73742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fr-FR"/>
        </w:rPr>
      </w:pPr>
      <w:r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B73742">
        <w:rPr>
          <w:rFonts w:cs="Tahoma"/>
          <w:sz w:val="18"/>
          <w:szCs w:val="18"/>
          <w:lang w:val="fr-FR"/>
        </w:rPr>
        <w:t xml:space="preserve"> </w:t>
      </w:r>
      <w:r w:rsidRPr="00B73742">
        <w:rPr>
          <w:rFonts w:cs="Tahoma"/>
          <w:sz w:val="18"/>
          <w:szCs w:val="18"/>
          <w:lang w:val="fr-FR"/>
        </w:rPr>
        <w:tab/>
        <w:t xml:space="preserve">CatSalut. </w:t>
      </w:r>
      <w:hyperlink r:id="rId57" w:history="1">
        <w:r w:rsidRPr="00B73742">
          <w:rPr>
            <w:rStyle w:val="Hipervnculo"/>
            <w:rFonts w:cs="Tahoma"/>
            <w:sz w:val="18"/>
            <w:szCs w:val="18"/>
            <w:lang w:val="fr-FR"/>
          </w:rPr>
          <w:t>http://medicaments.gencat.cat/ca/professionals/seguretat/fitxes-seguretat/estimulants-adrenergics-de-llarga-durada-en-el-tractament-de-lasma-en-nens/</w:t>
        </w:r>
      </w:hyperlink>
      <w:r w:rsidRPr="00B73742">
        <w:rPr>
          <w:rFonts w:cs="Tahoma"/>
          <w:sz w:val="18"/>
          <w:szCs w:val="18"/>
          <w:lang w:val="fr-FR"/>
        </w:rPr>
        <w:t xml:space="preserve"> </w:t>
      </w:r>
    </w:p>
  </w:endnote>
  <w:endnote w:id="43">
    <w:p w:rsidR="00B73742" w:rsidRPr="006A6044" w:rsidRDefault="00B73742" w:rsidP="00B73742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B73742">
        <w:rPr>
          <w:rFonts w:cs="Tahoma"/>
          <w:sz w:val="18"/>
          <w:szCs w:val="18"/>
          <w:lang w:val="fr-FR"/>
        </w:rPr>
        <w:t xml:space="preserve"> </w:t>
      </w: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>Suissa S, Coulombe J, Ernst P. Chest 2015</w:t>
      </w:r>
      <w:proofErr w:type="gramStart"/>
      <w:r w:rsidRPr="006A6044">
        <w:rPr>
          <w:rFonts w:cs="Tahoma"/>
          <w:sz w:val="18"/>
          <w:szCs w:val="18"/>
          <w:lang w:val="es-ES"/>
        </w:rPr>
        <w:t>;148:1177</w:t>
      </w:r>
      <w:proofErr w:type="gramEnd"/>
      <w:r w:rsidRPr="006A6044">
        <w:rPr>
          <w:rFonts w:cs="Tahoma"/>
          <w:sz w:val="18"/>
          <w:szCs w:val="18"/>
          <w:lang w:val="es-ES"/>
        </w:rPr>
        <w:t xml:space="preserve">-83. </w:t>
      </w:r>
      <w:hyperlink r:id="rId58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http://www.sietes.org/buscar/cita/99678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44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>Fang L, Karakiulak</w:t>
      </w:r>
      <w:r w:rsidR="006A6044" w:rsidRPr="006A6044">
        <w:rPr>
          <w:rFonts w:cs="Tahoma"/>
          <w:sz w:val="18"/>
          <w:szCs w:val="18"/>
          <w:lang w:val="es-ES"/>
        </w:rPr>
        <w:t>is G, Roth M. Lancet Respir Med</w:t>
      </w:r>
      <w:r w:rsidRPr="006A6044">
        <w:rPr>
          <w:rFonts w:cs="Tahoma"/>
          <w:sz w:val="18"/>
          <w:szCs w:val="18"/>
          <w:lang w:val="es-ES"/>
        </w:rPr>
        <w:t xml:space="preserve"> 2020:11 de marzo. </w:t>
      </w:r>
      <w:hyperlink r:id="rId59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</w:t>
        </w:r>
        <w:r w:rsidRPr="006A6044">
          <w:rPr>
            <w:rStyle w:val="Hipervnculo"/>
            <w:rFonts w:cs="Tahoma"/>
            <w:noProof/>
            <w:sz w:val="18"/>
            <w:szCs w:val="18"/>
            <w:lang w:val="es-ES"/>
          </w:rPr>
          <w:t>103569</w:t>
        </w:r>
      </w:hyperlink>
      <w:r w:rsidRPr="006A6044">
        <w:rPr>
          <w:rFonts w:cs="Tahoma"/>
          <w:noProof/>
          <w:sz w:val="18"/>
          <w:szCs w:val="18"/>
          <w:lang w:val="es-ES"/>
        </w:rPr>
        <w:t xml:space="preserve"> </w:t>
      </w:r>
    </w:p>
  </w:endnote>
  <w:endnote w:id="45">
    <w:p w:rsidR="002F0519" w:rsidRPr="006A6044" w:rsidRDefault="002F0519" w:rsidP="006A6044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>American Heart Association, Heart Failure Society of America, American College of Cardiology. American Heart Association webpage 2020:1</w:t>
      </w:r>
      <w:hyperlink r:id="rId60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https://newsroom.heart.org/news/patients-taking-ace-i-and-arbs-who-contract-covid-19-should-continue-treatment-unless-otherwise-advised-by-their-physician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  <w:hyperlink r:id="rId61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</w:t>
        </w:r>
        <w:r w:rsidRPr="006A6044">
          <w:rPr>
            <w:rStyle w:val="Hipervnculo"/>
            <w:rFonts w:cs="Tahoma"/>
            <w:noProof/>
            <w:sz w:val="18"/>
            <w:szCs w:val="18"/>
            <w:lang w:val="es-ES"/>
          </w:rPr>
          <w:t>103570</w:t>
        </w:r>
      </w:hyperlink>
      <w:r w:rsidRPr="006A6044">
        <w:rPr>
          <w:rFonts w:cs="Tahoma"/>
          <w:noProof/>
          <w:sz w:val="18"/>
          <w:szCs w:val="18"/>
          <w:lang w:val="es-ES"/>
        </w:rPr>
        <w:t xml:space="preserve"> </w:t>
      </w:r>
    </w:p>
  </w:endnote>
  <w:endnote w:id="46">
    <w:p w:rsidR="002F0519" w:rsidRPr="006A6044" w:rsidRDefault="002F0519" w:rsidP="006A6044">
      <w:pPr>
        <w:autoSpaceDE w:val="0"/>
        <w:autoSpaceDN w:val="0"/>
        <w:adjustRightInd w:val="0"/>
        <w:spacing w:after="120"/>
        <w:ind w:left="284" w:hanging="284"/>
        <w:rPr>
          <w:rFonts w:cs="Tahoma"/>
          <w:sz w:val="18"/>
          <w:szCs w:val="18"/>
          <w:lang w:val="es-ES" w:eastAsia="ca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</w:r>
      <w:r w:rsidRPr="006A6044">
        <w:rPr>
          <w:rFonts w:cs="Tahoma"/>
          <w:sz w:val="18"/>
          <w:szCs w:val="18"/>
          <w:lang w:val="es-ES" w:eastAsia="ca-ES"/>
        </w:rPr>
        <w:t>Dublin S, Walker RL, Jackson ML</w:t>
      </w:r>
      <w:r w:rsidR="006A6044" w:rsidRPr="006A6044">
        <w:rPr>
          <w:rFonts w:cs="Tahoma"/>
          <w:sz w:val="18"/>
          <w:szCs w:val="18"/>
          <w:lang w:val="es-ES" w:eastAsia="ca-ES"/>
        </w:rPr>
        <w:t>,</w:t>
      </w:r>
      <w:r w:rsidRPr="006A6044">
        <w:rPr>
          <w:rFonts w:cs="Tahoma"/>
          <w:sz w:val="18"/>
          <w:szCs w:val="18"/>
          <w:lang w:val="es-ES" w:eastAsia="ca-ES"/>
        </w:rPr>
        <w:t xml:space="preserve"> et al. Pharmacoepidemiol Drug Saf 2012</w:t>
      </w:r>
      <w:proofErr w:type="gramStart"/>
      <w:r w:rsidRPr="006A6044">
        <w:rPr>
          <w:rFonts w:cs="Tahoma"/>
          <w:sz w:val="18"/>
          <w:szCs w:val="18"/>
          <w:lang w:val="es-ES" w:eastAsia="ca-ES"/>
        </w:rPr>
        <w:t>;21:1173</w:t>
      </w:r>
      <w:proofErr w:type="gramEnd"/>
      <w:r w:rsidRPr="006A6044">
        <w:rPr>
          <w:rFonts w:cs="Tahoma"/>
          <w:sz w:val="18"/>
          <w:szCs w:val="18"/>
          <w:lang w:val="es-ES" w:eastAsia="ca-ES"/>
        </w:rPr>
        <w:t xml:space="preserve">-82. </w:t>
      </w:r>
      <w:hyperlink r:id="rId62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http://www.sietes.org/buscar/cita/93988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47">
    <w:p w:rsidR="002F0519" w:rsidRPr="006A6044" w:rsidRDefault="002F0519" w:rsidP="006A6044">
      <w:pPr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>Day M. BMJ 2020</w:t>
      </w:r>
      <w:proofErr w:type="gramStart"/>
      <w:r w:rsidRPr="006A6044">
        <w:rPr>
          <w:rFonts w:cs="Tahoma"/>
          <w:sz w:val="18"/>
          <w:szCs w:val="18"/>
          <w:lang w:val="es-ES"/>
        </w:rPr>
        <w:t>;368:m1086</w:t>
      </w:r>
      <w:proofErr w:type="gramEnd"/>
      <w:r w:rsidRPr="006A6044">
        <w:rPr>
          <w:rFonts w:cs="Tahoma"/>
          <w:sz w:val="18"/>
          <w:szCs w:val="18"/>
          <w:lang w:val="es-ES"/>
        </w:rPr>
        <w:t xml:space="preserve">. </w:t>
      </w:r>
      <w:hyperlink r:id="rId63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http://www.sietes.org/buscar/cita/103563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  <w:endnote w:id="48">
    <w:p w:rsidR="002F0519" w:rsidRPr="006A6044" w:rsidRDefault="002F0519" w:rsidP="006A6044">
      <w:pPr>
        <w:pStyle w:val="Textonotaalfinal"/>
        <w:spacing w:after="120"/>
        <w:ind w:left="284" w:hanging="284"/>
        <w:rPr>
          <w:rFonts w:cs="Tahoma"/>
          <w:sz w:val="18"/>
          <w:szCs w:val="18"/>
          <w:lang w:val="es-ES"/>
        </w:rPr>
      </w:pPr>
      <w:r w:rsidRPr="006A6044">
        <w:rPr>
          <w:rStyle w:val="Refdenotaalfinal"/>
          <w:rFonts w:cs="Tahoma"/>
          <w:sz w:val="18"/>
          <w:szCs w:val="18"/>
          <w:lang w:val="es-ES"/>
        </w:rPr>
        <w:endnoteRef/>
      </w:r>
      <w:r w:rsidRPr="006A6044">
        <w:rPr>
          <w:rFonts w:cs="Tahoma"/>
          <w:sz w:val="18"/>
          <w:szCs w:val="18"/>
          <w:lang w:val="es-ES"/>
        </w:rPr>
        <w:t xml:space="preserve"> </w:t>
      </w:r>
      <w:r w:rsidRPr="006A6044">
        <w:rPr>
          <w:rFonts w:cs="Tahoma"/>
          <w:sz w:val="18"/>
          <w:szCs w:val="18"/>
          <w:lang w:val="es-ES"/>
        </w:rPr>
        <w:tab/>
        <w:t>I</w:t>
      </w:r>
      <w:hyperlink r:id="rId64" w:history="1">
        <w:r w:rsidRPr="006A6044">
          <w:rPr>
            <w:rStyle w:val="Hipervnculo"/>
            <w:rFonts w:cs="Tahoma"/>
            <w:color w:val="auto"/>
            <w:sz w:val="18"/>
            <w:szCs w:val="18"/>
            <w:u w:val="none"/>
            <w:lang w:val="es-ES"/>
          </w:rPr>
          <w:t>oannidis JPA</w:t>
        </w:r>
      </w:hyperlink>
      <w:r w:rsidRPr="006A6044">
        <w:rPr>
          <w:rFonts w:cs="Tahoma"/>
          <w:sz w:val="18"/>
          <w:szCs w:val="18"/>
          <w:lang w:val="es-ES"/>
        </w:rPr>
        <w:t xml:space="preserve">. STAT Daily Recap 2020. </w:t>
      </w:r>
      <w:hyperlink r:id="rId65" w:history="1">
        <w:r w:rsidRPr="006A6044">
          <w:rPr>
            <w:rStyle w:val="Hipervnculo"/>
            <w:rFonts w:cs="Tahoma"/>
            <w:sz w:val="18"/>
            <w:szCs w:val="18"/>
            <w:lang w:val="es-ES"/>
          </w:rPr>
          <w:t>https://www.statnews.com/2020/03/17/a-fiasco-in-the-making-as-the-coronavirus-pandemic-takes-hold-we-are-making-decisions-without-reliable-data/</w:t>
        </w:r>
      </w:hyperlink>
      <w:r w:rsidRPr="006A6044">
        <w:rPr>
          <w:rFonts w:cs="Tahoma"/>
          <w:sz w:val="18"/>
          <w:szCs w:val="18"/>
          <w:lang w:val="es-E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519" w:rsidRDefault="002F0519">
      <w:r>
        <w:separator/>
      </w:r>
    </w:p>
  </w:footnote>
  <w:footnote w:type="continuationSeparator" w:id="1">
    <w:p w:rsidR="002F0519" w:rsidRDefault="002F05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19" w:rsidRDefault="002F051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0519" w:rsidRDefault="002F0519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519" w:rsidRPr="004B6C50" w:rsidRDefault="002F0519">
    <w:pPr>
      <w:pStyle w:val="Encabezado"/>
      <w:framePr w:wrap="around" w:vAnchor="text" w:hAnchor="page" w:x="10162" w:y="-3"/>
      <w:rPr>
        <w:rStyle w:val="Nmerodepgina"/>
        <w:sz w:val="18"/>
        <w:szCs w:val="18"/>
      </w:rPr>
    </w:pPr>
    <w:r w:rsidRPr="004B6C50">
      <w:rPr>
        <w:rStyle w:val="Nmerodepgina"/>
        <w:sz w:val="18"/>
        <w:szCs w:val="18"/>
      </w:rPr>
      <w:fldChar w:fldCharType="begin"/>
    </w:r>
    <w:r w:rsidRPr="004B6C50">
      <w:rPr>
        <w:rStyle w:val="Nmerodepgina"/>
        <w:sz w:val="18"/>
        <w:szCs w:val="18"/>
      </w:rPr>
      <w:instrText xml:space="preserve">PAGE  </w:instrText>
    </w:r>
    <w:r w:rsidRPr="004B6C50">
      <w:rPr>
        <w:rStyle w:val="Nmerodepgina"/>
        <w:sz w:val="18"/>
        <w:szCs w:val="18"/>
      </w:rPr>
      <w:fldChar w:fldCharType="separate"/>
    </w:r>
    <w:r w:rsidR="006A1734">
      <w:rPr>
        <w:rStyle w:val="Nmerodepgina"/>
        <w:noProof/>
        <w:sz w:val="18"/>
        <w:szCs w:val="18"/>
      </w:rPr>
      <w:t>5</w:t>
    </w:r>
    <w:r w:rsidRPr="004B6C50">
      <w:rPr>
        <w:rStyle w:val="Nmerodepgina"/>
        <w:sz w:val="18"/>
        <w:szCs w:val="18"/>
      </w:rPr>
      <w:fldChar w:fldCharType="end"/>
    </w:r>
  </w:p>
  <w:p w:rsidR="002F0519" w:rsidRDefault="002F0519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59C767"/>
    <w:multiLevelType w:val="hybridMultilevel"/>
    <w:tmpl w:val="2887E4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B8919C8"/>
    <w:multiLevelType w:val="hybridMultilevel"/>
    <w:tmpl w:val="9198DD9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A072C"/>
    <w:multiLevelType w:val="hybridMultilevel"/>
    <w:tmpl w:val="8E2EE484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451EC"/>
    <w:multiLevelType w:val="hybridMultilevel"/>
    <w:tmpl w:val="283A9B8C"/>
    <w:lvl w:ilvl="0" w:tplc="0403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443610F9"/>
    <w:multiLevelType w:val="hybridMultilevel"/>
    <w:tmpl w:val="C0DE81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6834CB"/>
    <w:multiLevelType w:val="hybridMultilevel"/>
    <w:tmpl w:val="31D8A82A"/>
    <w:lvl w:ilvl="0" w:tplc="040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dirty" w:grammar="clean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1B4FDD"/>
    <w:rsid w:val="0001244C"/>
    <w:rsid w:val="0002044B"/>
    <w:rsid w:val="000204C2"/>
    <w:rsid w:val="00026360"/>
    <w:rsid w:val="00030617"/>
    <w:rsid w:val="00035F84"/>
    <w:rsid w:val="00040AAE"/>
    <w:rsid w:val="00045009"/>
    <w:rsid w:val="00063E89"/>
    <w:rsid w:val="00064E0B"/>
    <w:rsid w:val="0008726F"/>
    <w:rsid w:val="000965F0"/>
    <w:rsid w:val="000C2219"/>
    <w:rsid w:val="000D52BD"/>
    <w:rsid w:val="00121448"/>
    <w:rsid w:val="0012775B"/>
    <w:rsid w:val="0013332D"/>
    <w:rsid w:val="001471DA"/>
    <w:rsid w:val="00163821"/>
    <w:rsid w:val="00166DE1"/>
    <w:rsid w:val="001676CD"/>
    <w:rsid w:val="00171A63"/>
    <w:rsid w:val="00172980"/>
    <w:rsid w:val="00180BDC"/>
    <w:rsid w:val="001B4FDD"/>
    <w:rsid w:val="001C2868"/>
    <w:rsid w:val="002125B0"/>
    <w:rsid w:val="00212D5C"/>
    <w:rsid w:val="00220E65"/>
    <w:rsid w:val="00225A76"/>
    <w:rsid w:val="002279A2"/>
    <w:rsid w:val="002443D3"/>
    <w:rsid w:val="00250862"/>
    <w:rsid w:val="00266213"/>
    <w:rsid w:val="00277476"/>
    <w:rsid w:val="002939A1"/>
    <w:rsid w:val="00294EF8"/>
    <w:rsid w:val="002A3A51"/>
    <w:rsid w:val="002B48D4"/>
    <w:rsid w:val="002D01B4"/>
    <w:rsid w:val="002E43FA"/>
    <w:rsid w:val="002F0519"/>
    <w:rsid w:val="003142E5"/>
    <w:rsid w:val="0031654E"/>
    <w:rsid w:val="003312C7"/>
    <w:rsid w:val="003556D5"/>
    <w:rsid w:val="003630C4"/>
    <w:rsid w:val="00370185"/>
    <w:rsid w:val="0038069F"/>
    <w:rsid w:val="003860FE"/>
    <w:rsid w:val="003B6A1E"/>
    <w:rsid w:val="00405F3B"/>
    <w:rsid w:val="00446819"/>
    <w:rsid w:val="0045556B"/>
    <w:rsid w:val="00456684"/>
    <w:rsid w:val="00487E6C"/>
    <w:rsid w:val="0049681A"/>
    <w:rsid w:val="004B6C50"/>
    <w:rsid w:val="004F056C"/>
    <w:rsid w:val="00540683"/>
    <w:rsid w:val="00555F15"/>
    <w:rsid w:val="00555FCB"/>
    <w:rsid w:val="0056603F"/>
    <w:rsid w:val="00566485"/>
    <w:rsid w:val="00574833"/>
    <w:rsid w:val="00581206"/>
    <w:rsid w:val="00585B53"/>
    <w:rsid w:val="00587383"/>
    <w:rsid w:val="005A45BD"/>
    <w:rsid w:val="005B1025"/>
    <w:rsid w:val="005C1C08"/>
    <w:rsid w:val="005F1976"/>
    <w:rsid w:val="005F2D56"/>
    <w:rsid w:val="00612EAE"/>
    <w:rsid w:val="00633EAC"/>
    <w:rsid w:val="006620B8"/>
    <w:rsid w:val="006621F3"/>
    <w:rsid w:val="006725A2"/>
    <w:rsid w:val="006923FB"/>
    <w:rsid w:val="0069554B"/>
    <w:rsid w:val="006A1734"/>
    <w:rsid w:val="006A3502"/>
    <w:rsid w:val="006A6044"/>
    <w:rsid w:val="006B36E7"/>
    <w:rsid w:val="006C55F0"/>
    <w:rsid w:val="006D32B7"/>
    <w:rsid w:val="006E4502"/>
    <w:rsid w:val="006F04A7"/>
    <w:rsid w:val="007054AF"/>
    <w:rsid w:val="00715542"/>
    <w:rsid w:val="0074113B"/>
    <w:rsid w:val="007477A0"/>
    <w:rsid w:val="00767A76"/>
    <w:rsid w:val="00777746"/>
    <w:rsid w:val="007B1571"/>
    <w:rsid w:val="007B74F0"/>
    <w:rsid w:val="008103D4"/>
    <w:rsid w:val="00827DB8"/>
    <w:rsid w:val="008539C4"/>
    <w:rsid w:val="008B4015"/>
    <w:rsid w:val="008C2ABD"/>
    <w:rsid w:val="008C55F4"/>
    <w:rsid w:val="008D7E69"/>
    <w:rsid w:val="00944D87"/>
    <w:rsid w:val="009554AA"/>
    <w:rsid w:val="00982A39"/>
    <w:rsid w:val="00985AF2"/>
    <w:rsid w:val="009C7793"/>
    <w:rsid w:val="009D0D92"/>
    <w:rsid w:val="009F070F"/>
    <w:rsid w:val="00A06D18"/>
    <w:rsid w:val="00A10828"/>
    <w:rsid w:val="00A10B54"/>
    <w:rsid w:val="00A53696"/>
    <w:rsid w:val="00A747BA"/>
    <w:rsid w:val="00A75EAE"/>
    <w:rsid w:val="00A9098D"/>
    <w:rsid w:val="00AA4374"/>
    <w:rsid w:val="00AA4CD1"/>
    <w:rsid w:val="00AB426C"/>
    <w:rsid w:val="00AD001D"/>
    <w:rsid w:val="00AE60CF"/>
    <w:rsid w:val="00AF274C"/>
    <w:rsid w:val="00AF5397"/>
    <w:rsid w:val="00B14968"/>
    <w:rsid w:val="00B3100B"/>
    <w:rsid w:val="00B42D70"/>
    <w:rsid w:val="00B73742"/>
    <w:rsid w:val="00B8088D"/>
    <w:rsid w:val="00B9771E"/>
    <w:rsid w:val="00B97A37"/>
    <w:rsid w:val="00BA5725"/>
    <w:rsid w:val="00C12F49"/>
    <w:rsid w:val="00C15029"/>
    <w:rsid w:val="00C158C0"/>
    <w:rsid w:val="00C261FC"/>
    <w:rsid w:val="00C43813"/>
    <w:rsid w:val="00C4716E"/>
    <w:rsid w:val="00C55D0E"/>
    <w:rsid w:val="00C56573"/>
    <w:rsid w:val="00C72F89"/>
    <w:rsid w:val="00C836FE"/>
    <w:rsid w:val="00C91ABB"/>
    <w:rsid w:val="00CA56F6"/>
    <w:rsid w:val="00CE3C11"/>
    <w:rsid w:val="00CF3634"/>
    <w:rsid w:val="00D12E7A"/>
    <w:rsid w:val="00D16B5C"/>
    <w:rsid w:val="00D63E78"/>
    <w:rsid w:val="00D74BC6"/>
    <w:rsid w:val="00D7726F"/>
    <w:rsid w:val="00DB0663"/>
    <w:rsid w:val="00DD0CFE"/>
    <w:rsid w:val="00DE0AD6"/>
    <w:rsid w:val="00E06EFA"/>
    <w:rsid w:val="00E141BF"/>
    <w:rsid w:val="00E30402"/>
    <w:rsid w:val="00E40A57"/>
    <w:rsid w:val="00E52181"/>
    <w:rsid w:val="00E9026C"/>
    <w:rsid w:val="00E91B4B"/>
    <w:rsid w:val="00EC1478"/>
    <w:rsid w:val="00ED39F4"/>
    <w:rsid w:val="00ED46C8"/>
    <w:rsid w:val="00F11C64"/>
    <w:rsid w:val="00F32746"/>
    <w:rsid w:val="00F33641"/>
    <w:rsid w:val="00F44BC0"/>
    <w:rsid w:val="00F539C8"/>
    <w:rsid w:val="00F6140A"/>
    <w:rsid w:val="00F65664"/>
    <w:rsid w:val="00FA2E86"/>
    <w:rsid w:val="00FA713C"/>
    <w:rsid w:val="00FC48B1"/>
    <w:rsid w:val="00FC7865"/>
    <w:rsid w:val="00FF0046"/>
    <w:rsid w:val="00FF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6819"/>
    <w:rPr>
      <w:rFonts w:ascii="Tahoma" w:hAnsi="Tahoma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A75EA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4681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46819"/>
  </w:style>
  <w:style w:type="paragraph" w:styleId="Piedepgina">
    <w:name w:val="footer"/>
    <w:basedOn w:val="Normal"/>
    <w:rsid w:val="0044681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FC7865"/>
    <w:pPr>
      <w:ind w:left="720"/>
      <w:contextualSpacing/>
    </w:pPr>
  </w:style>
  <w:style w:type="character" w:styleId="Hipervnculo">
    <w:name w:val="Hyperlink"/>
    <w:basedOn w:val="Fuentedeprrafopredeter"/>
    <w:rsid w:val="0045556B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rsid w:val="0045556B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5556B"/>
    <w:rPr>
      <w:rFonts w:ascii="Tahoma" w:hAnsi="Tahoma"/>
      <w:lang w:eastAsia="es-ES"/>
    </w:rPr>
  </w:style>
  <w:style w:type="character" w:styleId="Refdenotaalfinal">
    <w:name w:val="endnote reference"/>
    <w:basedOn w:val="Fuentedeprrafopredeter"/>
    <w:rsid w:val="0045556B"/>
    <w:rPr>
      <w:vertAlign w:val="superscript"/>
    </w:rPr>
  </w:style>
  <w:style w:type="character" w:styleId="Hipervnculovisitado">
    <w:name w:val="FollowedHyperlink"/>
    <w:basedOn w:val="Fuentedeprrafopredeter"/>
    <w:rsid w:val="00166DE1"/>
    <w:rPr>
      <w:color w:val="800080" w:themeColor="followedHyperlink"/>
      <w:u w:val="single"/>
    </w:rPr>
  </w:style>
  <w:style w:type="paragraph" w:styleId="Textodeglobo">
    <w:name w:val="Balloon Text"/>
    <w:basedOn w:val="Normal"/>
    <w:link w:val="TextodegloboCar"/>
    <w:rsid w:val="003142E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2E5"/>
    <w:rPr>
      <w:rFonts w:ascii="Tahoma" w:hAnsi="Tahoma" w:cs="Tahoma"/>
      <w:sz w:val="16"/>
      <w:szCs w:val="16"/>
      <w:lang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612EAE"/>
    <w:pPr>
      <w:jc w:val="both"/>
    </w:pPr>
    <w:rPr>
      <w:sz w:val="20"/>
      <w:szCs w:val="20"/>
      <w:lang w:val="en-GB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2EAE"/>
    <w:rPr>
      <w:rFonts w:ascii="Tahoma" w:hAnsi="Tahoma"/>
      <w:lang w:val="en-GB" w:eastAsia="es-ES"/>
    </w:rPr>
  </w:style>
  <w:style w:type="character" w:customStyle="1" w:styleId="bold">
    <w:name w:val="bold"/>
    <w:basedOn w:val="Fuentedeprrafopredeter"/>
    <w:rsid w:val="00A10828"/>
  </w:style>
  <w:style w:type="character" w:customStyle="1" w:styleId="Ttulo1Car">
    <w:name w:val="Título 1 Car"/>
    <w:basedOn w:val="Fuentedeprrafopredeter"/>
    <w:link w:val="Ttulo1"/>
    <w:uiPriority w:val="9"/>
    <w:rsid w:val="00A75EAE"/>
    <w:rPr>
      <w:b/>
      <w:bCs/>
      <w:kern w:val="36"/>
      <w:sz w:val="48"/>
      <w:szCs w:val="48"/>
    </w:rPr>
  </w:style>
  <w:style w:type="character" w:customStyle="1" w:styleId="A1">
    <w:name w:val="A1"/>
    <w:uiPriority w:val="99"/>
    <w:rsid w:val="00250862"/>
    <w:rPr>
      <w:rFonts w:cs="HelveticaNeueLT Std"/>
      <w:color w:val="000000"/>
      <w:sz w:val="11"/>
      <w:szCs w:val="11"/>
    </w:rPr>
  </w:style>
  <w:style w:type="paragraph" w:customStyle="1" w:styleId="Default">
    <w:name w:val="Default"/>
    <w:rsid w:val="00250862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250862"/>
    <w:rPr>
      <w:rFonts w:cs="HelveticaNeueLT Std"/>
      <w:color w:val="000000"/>
      <w:sz w:val="14"/>
      <w:szCs w:val="14"/>
    </w:rPr>
  </w:style>
  <w:style w:type="character" w:customStyle="1" w:styleId="highwire-cite-metadata-pages">
    <w:name w:val="highwire-cite-metadata-pages"/>
    <w:basedOn w:val="Fuentedeprrafopredeter"/>
    <w:rsid w:val="0069554B"/>
  </w:style>
  <w:style w:type="paragraph" w:styleId="NormalWeb">
    <w:name w:val="Normal (Web)"/>
    <w:basedOn w:val="Normal"/>
    <w:uiPriority w:val="99"/>
    <w:unhideWhenUsed/>
    <w:rsid w:val="007B1571"/>
    <w:pPr>
      <w:spacing w:before="100" w:beforeAutospacing="1" w:after="100" w:afterAutospacing="1"/>
    </w:pPr>
    <w:rPr>
      <w:rFonts w:ascii="Times New Roman" w:hAnsi="Times New Roman"/>
      <w:lang w:eastAsia="ca-ES"/>
    </w:rPr>
  </w:style>
  <w:style w:type="character" w:styleId="Textoennegrita">
    <w:name w:val="Strong"/>
    <w:basedOn w:val="Fuentedeprrafopredeter"/>
    <w:uiPriority w:val="22"/>
    <w:qFormat/>
    <w:rsid w:val="007B15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7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3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1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ietes.org/buscar/cita/102563" TargetMode="External"/><Relationship Id="rId18" Type="http://schemas.openxmlformats.org/officeDocument/2006/relationships/hyperlink" Target="https://www.ncbi.nlm.nih.gov/pubmed/?term=Wang%20X%5BAuthor%5D&amp;cauthor=true&amp;cauthor_uid=27418553" TargetMode="External"/><Relationship Id="rId26" Type="http://schemas.openxmlformats.org/officeDocument/2006/relationships/hyperlink" Target="http://www.sietes.org/buscar/cita/94840" TargetMode="External"/><Relationship Id="rId39" Type="http://schemas.openxmlformats.org/officeDocument/2006/relationships/hyperlink" Target="https://www.ncbi.nlm.nih.gov/pubmed/26042842" TargetMode="External"/><Relationship Id="rId21" Type="http://schemas.openxmlformats.org/officeDocument/2006/relationships/hyperlink" Target="https://www.ncbi.nlm.nih.gov/pubmed/27418553" TargetMode="External"/><Relationship Id="rId34" Type="http://schemas.openxmlformats.org/officeDocument/2006/relationships/hyperlink" Target="http://www.sietes.org/buscar/cita/101504" TargetMode="External"/><Relationship Id="rId42" Type="http://schemas.openxmlformats.org/officeDocument/2006/relationships/hyperlink" Target="http://www.sietes.org/buscar/cita/100941" TargetMode="External"/><Relationship Id="rId47" Type="http://schemas.openxmlformats.org/officeDocument/2006/relationships/hyperlink" Target="https://www.ncbi.nlm.nih.gov/pubmed/?term=Heh%20V%5BAuthor%5D&amp;cauthor=true&amp;cauthor_uid=20604960" TargetMode="External"/><Relationship Id="rId50" Type="http://schemas.openxmlformats.org/officeDocument/2006/relationships/hyperlink" Target="http://medicaments.gencat.cat/ca/professionals/seguretat/fitxes-seguretat/riscos-associats-a-lus-simultani-de-diversos-psicofarmacs-en-gent-gran-II-desembre-16/" TargetMode="External"/><Relationship Id="rId55" Type="http://schemas.openxmlformats.org/officeDocument/2006/relationships/hyperlink" Target="http://www.sietes.org/buscar/cita/102031" TargetMode="External"/><Relationship Id="rId63" Type="http://schemas.openxmlformats.org/officeDocument/2006/relationships/hyperlink" Target="http://www.sietes.org/buscar/cita/103563" TargetMode="External"/><Relationship Id="rId7" Type="http://schemas.openxmlformats.org/officeDocument/2006/relationships/hyperlink" Target="https://bmjopen.bmj.com/content/4/12/e006135.info" TargetMode="External"/><Relationship Id="rId2" Type="http://schemas.openxmlformats.org/officeDocument/2006/relationships/hyperlink" Target="http://www.sietes.org/buscar/cita/88170" TargetMode="External"/><Relationship Id="rId16" Type="http://schemas.openxmlformats.org/officeDocument/2006/relationships/hyperlink" Target="http://www.sietes.org/buscar/autor/Schaffner,W" TargetMode="External"/><Relationship Id="rId20" Type="http://schemas.openxmlformats.org/officeDocument/2006/relationships/hyperlink" Target="https://www.ncbi.nlm.nih.gov/pubmed/?term=Bell%20CM%5BAuthor%5D&amp;cauthor=true&amp;cauthor_uid=27418553" TargetMode="External"/><Relationship Id="rId29" Type="http://schemas.openxmlformats.org/officeDocument/2006/relationships/hyperlink" Target="http://www.sietes.org/buscar/autor/Koponen,M" TargetMode="External"/><Relationship Id="rId41" Type="http://schemas.openxmlformats.org/officeDocument/2006/relationships/hyperlink" Target="http://www.sietes.org/buscar/autor/Crooks,CJ" TargetMode="External"/><Relationship Id="rId54" Type="http://schemas.openxmlformats.org/officeDocument/2006/relationships/hyperlink" Target="http://www.sietes.org/buscar/autor/Suissa,S" TargetMode="External"/><Relationship Id="rId62" Type="http://schemas.openxmlformats.org/officeDocument/2006/relationships/hyperlink" Target="http://www.sietes.org/buscar/cita/93988" TargetMode="External"/><Relationship Id="rId1" Type="http://schemas.openxmlformats.org/officeDocument/2006/relationships/hyperlink" Target="https://www.icf.uab.cat/assets/pdf/productes/bg/ca/bg293-4.16c.pdf" TargetMode="External"/><Relationship Id="rId6" Type="http://schemas.openxmlformats.org/officeDocument/2006/relationships/hyperlink" Target="http://www.sietes.org/buscar/cita/102828" TargetMode="External"/><Relationship Id="rId11" Type="http://schemas.openxmlformats.org/officeDocument/2006/relationships/hyperlink" Target="https://www.icf.uab.cat/assets/pdf/productes/bg/ca/bg281.15c.pdf" TargetMode="External"/><Relationship Id="rId24" Type="http://schemas.openxmlformats.org/officeDocument/2006/relationships/hyperlink" Target="https://www.icf.uab.cat/ca/download/enllac/assets/pdf/productes/bg/ca/bg254.12c.pdf" TargetMode="External"/><Relationship Id="rId32" Type="http://schemas.openxmlformats.org/officeDocument/2006/relationships/hyperlink" Target="http://www.sietes.org/buscar/cita/102918" TargetMode="External"/><Relationship Id="rId37" Type="http://schemas.openxmlformats.org/officeDocument/2006/relationships/hyperlink" Target="https://www.icf.uab.cat/ca/download/enllac/assets/pdf/productes/bg/ca/bg291.16c.pdf" TargetMode="External"/><Relationship Id="rId40" Type="http://schemas.openxmlformats.org/officeDocument/2006/relationships/hyperlink" Target="http://www.sietes.org/buscar/autor/Othman,F" TargetMode="External"/><Relationship Id="rId45" Type="http://schemas.openxmlformats.org/officeDocument/2006/relationships/hyperlink" Target="http://medicaments.gencat.cat/ca/professionals/seguretat/fitxes-seguretat/inhibidors-de-la-bomba-de-protons/" TargetMode="External"/><Relationship Id="rId53" Type="http://schemas.openxmlformats.org/officeDocument/2006/relationships/hyperlink" Target="http://www.sietes.org/buscar/autor/Coulombe,J" TargetMode="External"/><Relationship Id="rId58" Type="http://schemas.openxmlformats.org/officeDocument/2006/relationships/hyperlink" Target="http://www.sietes.org/buscar/cita/99678" TargetMode="External"/><Relationship Id="rId5" Type="http://schemas.openxmlformats.org/officeDocument/2006/relationships/hyperlink" Target="http://medicaments.gencat.cat/ca/professionals/seguretat/fitxes-seguretat/riscos-us-antipsicotics-en-gent-gran/" TargetMode="External"/><Relationship Id="rId15" Type="http://schemas.openxmlformats.org/officeDocument/2006/relationships/hyperlink" Target="http://www.sietes.org/buscar/autor/Griffin,MR" TargetMode="External"/><Relationship Id="rId23" Type="http://schemas.openxmlformats.org/officeDocument/2006/relationships/hyperlink" Target="http://medicaments.gencat.cat/ca/professionals/seguretat/fitxes-seguretat/Riscos-associats-a-lus-concominant-dopioides-i-benzodiazepines/" TargetMode="External"/><Relationship Id="rId28" Type="http://schemas.openxmlformats.org/officeDocument/2006/relationships/hyperlink" Target="http://www.sietes.org/buscar/autor/Tolppanen,A-M" TargetMode="External"/><Relationship Id="rId36" Type="http://schemas.openxmlformats.org/officeDocument/2006/relationships/hyperlink" Target="http://www.sietes.org/buscar/cita/102913" TargetMode="External"/><Relationship Id="rId49" Type="http://schemas.openxmlformats.org/officeDocument/2006/relationships/hyperlink" Target="https://www.ncbi.nlm.nih.gov/pubmed/20604960" TargetMode="External"/><Relationship Id="rId57" Type="http://schemas.openxmlformats.org/officeDocument/2006/relationships/hyperlink" Target="http://medicaments.gencat.cat/ca/professionals/seguretat/fitxes-seguretat/estimulants-adrenergics-de-llarga-durada-en-el-tractament-de-lasma-en-nens/" TargetMode="External"/><Relationship Id="rId61" Type="http://schemas.openxmlformats.org/officeDocument/2006/relationships/hyperlink" Target="http://www.sietes.org/buscar/cita/103570" TargetMode="External"/><Relationship Id="rId10" Type="http://schemas.openxmlformats.org/officeDocument/2006/relationships/hyperlink" Target="http://www.sietes.org/buscar/cita/99857" TargetMode="External"/><Relationship Id="rId19" Type="http://schemas.openxmlformats.org/officeDocument/2006/relationships/hyperlink" Target="https://www.ncbi.nlm.nih.gov/pubmed/?term=Fischer%20HD%5BAuthor%5D&amp;cauthor=true&amp;cauthor_uid=27418553" TargetMode="External"/><Relationship Id="rId31" Type="http://schemas.openxmlformats.org/officeDocument/2006/relationships/hyperlink" Target="https://erj.ersjournals.com/content/52/1/1800475" TargetMode="External"/><Relationship Id="rId44" Type="http://schemas.openxmlformats.org/officeDocument/2006/relationships/hyperlink" Target="http://www.sietes.org/buscar/cita/96347" TargetMode="External"/><Relationship Id="rId52" Type="http://schemas.openxmlformats.org/officeDocument/2006/relationships/hyperlink" Target="http://www.sietes.org/buscar/autor/Qian,CJ" TargetMode="External"/><Relationship Id="rId60" Type="http://schemas.openxmlformats.org/officeDocument/2006/relationships/hyperlink" Target="https://newsroom.heart.org/news/patients-taking-ace-i-and-arbs-who-contract-covid-19-should-continue-treatment-unless-otherwise-advised-by-their-physician" TargetMode="External"/><Relationship Id="rId65" Type="http://schemas.openxmlformats.org/officeDocument/2006/relationships/hyperlink" Target="https://www.statnews.com/2020/03/17/a-fiasco-in-the-making-as-the-coronavirus-pandemic-takes-hold-we-are-making-decisions-without-reliable-data/" TargetMode="External"/><Relationship Id="rId4" Type="http://schemas.openxmlformats.org/officeDocument/2006/relationships/hyperlink" Target="http://www.sietes.org/buscar/cita/99472" TargetMode="External"/><Relationship Id="rId9" Type="http://schemas.openxmlformats.org/officeDocument/2006/relationships/hyperlink" Target="http://www.sietes.org/buscar/cita/99969" TargetMode="External"/><Relationship Id="rId14" Type="http://schemas.openxmlformats.org/officeDocument/2006/relationships/hyperlink" Target="http://www.sietes.org/buscar/autor/Wiese,AD" TargetMode="External"/><Relationship Id="rId22" Type="http://schemas.openxmlformats.org/officeDocument/2006/relationships/hyperlink" Target="https://www.ncbi.nlm.nih.gov/pubmed/27418553" TargetMode="External"/><Relationship Id="rId27" Type="http://schemas.openxmlformats.org/officeDocument/2006/relationships/hyperlink" Target="http://www.sietes.org/buscar/autor/Taipale,H" TargetMode="External"/><Relationship Id="rId30" Type="http://schemas.openxmlformats.org/officeDocument/2006/relationships/hyperlink" Target="http://www.sietes.org/buscar/cita/101524" TargetMode="External"/><Relationship Id="rId35" Type="http://schemas.openxmlformats.org/officeDocument/2006/relationships/hyperlink" Target="http://www.sietes.org/buscar/cita/101483" TargetMode="External"/><Relationship Id="rId43" Type="http://schemas.openxmlformats.org/officeDocument/2006/relationships/hyperlink" Target="http://www.sietes.org/buscar/cita/98376" TargetMode="External"/><Relationship Id="rId48" Type="http://schemas.openxmlformats.org/officeDocument/2006/relationships/hyperlink" Target="https://www.ncbi.nlm.nih.gov/pubmed/20604960" TargetMode="External"/><Relationship Id="rId56" Type="http://schemas.openxmlformats.org/officeDocument/2006/relationships/hyperlink" Target="http://www.sietes.org/buscar/cita/100075" TargetMode="External"/><Relationship Id="rId64" Type="http://schemas.openxmlformats.org/officeDocument/2006/relationships/hyperlink" Target="http://www.sietes.org/buscar/autor/Ioannidis%20JPA" TargetMode="External"/><Relationship Id="rId8" Type="http://schemas.openxmlformats.org/officeDocument/2006/relationships/hyperlink" Target="http://www.sietes.org/buscar/autor/Chen,H" TargetMode="External"/><Relationship Id="rId51" Type="http://schemas.openxmlformats.org/officeDocument/2006/relationships/hyperlink" Target="http://medicaments.gencat.cat/ca/professionals/seguretat/fitxes-seguretat/riesgos-associats-a-lus-simultani-de-varios-psicofarmacs-en-gent-gran-I-desembre-16/" TargetMode="External"/><Relationship Id="rId3" Type="http://schemas.openxmlformats.org/officeDocument/2006/relationships/hyperlink" Target="http://www.sietes.org/buscar/cita/99788" TargetMode="External"/><Relationship Id="rId12" Type="http://schemas.openxmlformats.org/officeDocument/2006/relationships/hyperlink" Target="http://medicaments.gencat.cat/ca/professionals/seguretat/fitxes-seguretat/riscos-de-farmacs-que-empitjoren-la-funcio-cognitiva-en-gent-gran-hipnosedants-anticolinergics-i-estatines/" TargetMode="External"/><Relationship Id="rId17" Type="http://schemas.openxmlformats.org/officeDocument/2006/relationships/hyperlink" Target="http://www.sietes.org/buscar/cita/102456" TargetMode="External"/><Relationship Id="rId25" Type="http://schemas.openxmlformats.org/officeDocument/2006/relationships/hyperlink" Target="https://thorax.bmj.com/content/68/2/163" TargetMode="External"/><Relationship Id="rId33" Type="http://schemas.openxmlformats.org/officeDocument/2006/relationships/hyperlink" Target="http://www.sietes.org/buscar/cita/103209" TargetMode="External"/><Relationship Id="rId38" Type="http://schemas.openxmlformats.org/officeDocument/2006/relationships/hyperlink" Target="https://www.cmaj.ca/content/183/3/310" TargetMode="External"/><Relationship Id="rId46" Type="http://schemas.openxmlformats.org/officeDocument/2006/relationships/hyperlink" Target="https://www.ncbi.nlm.nih.gov/pubmed/?term=Acharya%20U%5BAuthor%5D&amp;cauthor=true&amp;cauthor_uid=20604960" TargetMode="External"/><Relationship Id="rId59" Type="http://schemas.openxmlformats.org/officeDocument/2006/relationships/hyperlink" Target="http://www.sietes.org/buscar/cita/103569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M:\AAA%20CatSalut%202016-17\20171020%20homes-don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a-ES"/>
  <c:chart>
    <c:plotArea>
      <c:layout/>
      <c:barChart>
        <c:barDir val="col"/>
        <c:grouping val="clustered"/>
        <c:ser>
          <c:idx val="0"/>
          <c:order val="0"/>
          <c:tx>
            <c:strRef>
              <c:f>'Residencies vs. General'!$C$6</c:f>
              <c:strCache>
                <c:ptCount val="1"/>
                <c:pt idx="0">
                  <c:v>N</c:v>
                </c:pt>
              </c:strCache>
            </c:strRef>
          </c:tx>
          <c:cat>
            <c:multiLvlStrRef>
              <c:f>'Residencies vs. General'!$A$7:$B$24</c:f>
              <c:multiLvlStrCache>
                <c:ptCount val="10"/>
                <c:lvl>
                  <c:pt idx="0">
                    <c:v>H</c:v>
                  </c:pt>
                  <c:pt idx="1">
                    <c:v>D</c:v>
                  </c:pt>
                  <c:pt idx="2">
                    <c:v>H</c:v>
                  </c:pt>
                  <c:pt idx="3">
                    <c:v>Dones</c:v>
                  </c:pt>
                  <c:pt idx="4">
                    <c:v>Homes</c:v>
                  </c:pt>
                  <c:pt idx="5">
                    <c:v>Dones</c:v>
                  </c:pt>
                  <c:pt idx="6">
                    <c:v>Homes</c:v>
                  </c:pt>
                  <c:pt idx="7">
                    <c:v>Dones</c:v>
                  </c:pt>
                  <c:pt idx="8">
                    <c:v>Homes</c:v>
                  </c:pt>
                  <c:pt idx="9">
                    <c:v>Dones</c:v>
                  </c:pt>
                </c:lvl>
                <c:lvl>
                  <c:pt idx="0">
                    <c:v>AP</c:v>
                  </c:pt>
                  <c:pt idx="2">
                    <c:v>AD</c:v>
                  </c:pt>
                  <c:pt idx="4">
                    <c:v>HS</c:v>
                  </c:pt>
                  <c:pt idx="6">
                    <c:v>AC</c:v>
                  </c:pt>
                  <c:pt idx="8">
                    <c:v>Tots</c:v>
                  </c:pt>
                </c:lvl>
              </c:multiLvlStrCache>
            </c:multiLvlStrRef>
          </c:cat>
          <c:val>
            <c:numRef>
              <c:f>'Residencies vs. General'!$C$7:$C$24</c:f>
            </c:numRef>
          </c:val>
        </c:ser>
        <c:ser>
          <c:idx val="1"/>
          <c:order val="1"/>
          <c:tx>
            <c:strRef>
              <c:f>Sexes!$D$6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cat>
            <c:multiLvlStrRef>
              <c:f>Sexes!$A$7:$B$28</c:f>
              <c:multiLvlStrCache>
                <c:ptCount val="14"/>
                <c:lvl>
                  <c:pt idx="0">
                    <c:v>H</c:v>
                  </c:pt>
                  <c:pt idx="1">
                    <c:v>D</c:v>
                  </c:pt>
                  <c:pt idx="3">
                    <c:v>H</c:v>
                  </c:pt>
                  <c:pt idx="4">
                    <c:v>D</c:v>
                  </c:pt>
                  <c:pt idx="6">
                    <c:v>H</c:v>
                  </c:pt>
                  <c:pt idx="7">
                    <c:v>D</c:v>
                  </c:pt>
                  <c:pt idx="9">
                    <c:v>H</c:v>
                  </c:pt>
                  <c:pt idx="10">
                    <c:v>D</c:v>
                  </c:pt>
                  <c:pt idx="12">
                    <c:v>H</c:v>
                  </c:pt>
                  <c:pt idx="13">
                    <c:v>D</c:v>
                  </c:pt>
                </c:lvl>
                <c:lvl>
                  <c:pt idx="0">
                    <c:v>AP</c:v>
                  </c:pt>
                  <c:pt idx="3">
                    <c:v>AD</c:v>
                  </c:pt>
                  <c:pt idx="6">
                    <c:v>HS</c:v>
                  </c:pt>
                  <c:pt idx="9">
                    <c:v>AC</c:v>
                  </c:pt>
                  <c:pt idx="12">
                    <c:v>Tots</c:v>
                  </c:pt>
                </c:lvl>
              </c:multiLvlStrCache>
            </c:multiLvlStrRef>
          </c:cat>
          <c:val>
            <c:numRef>
              <c:f>Sexes!$D$7:$D$28</c:f>
              <c:numCache>
                <c:formatCode>0.00</c:formatCode>
                <c:ptCount val="14"/>
                <c:pt idx="0">
                  <c:v>7.5784801553483474</c:v>
                </c:pt>
                <c:pt idx="1">
                  <c:v>10.723070713203915</c:v>
                </c:pt>
                <c:pt idx="3">
                  <c:v>15.385634276603252</c:v>
                </c:pt>
                <c:pt idx="4">
                  <c:v>32.741900428136248</c:v>
                </c:pt>
                <c:pt idx="6">
                  <c:v>26.582411348226689</c:v>
                </c:pt>
                <c:pt idx="7">
                  <c:v>45.875954336733813</c:v>
                </c:pt>
                <c:pt idx="9">
                  <c:v>3.2421719778174118</c:v>
                </c:pt>
                <c:pt idx="10">
                  <c:v>4.7790147691479685</c:v>
                </c:pt>
                <c:pt idx="12">
                  <c:v>37.673473570037956</c:v>
                </c:pt>
                <c:pt idx="13">
                  <c:v>61.132577338793432</c:v>
                </c:pt>
              </c:numCache>
            </c:numRef>
          </c:val>
        </c:ser>
        <c:ser>
          <c:idx val="2"/>
          <c:order val="2"/>
          <c:tx>
            <c:strRef>
              <c:f>'Residencies vs. General'!$E$6</c:f>
              <c:strCache>
                <c:ptCount val="1"/>
                <c:pt idx="0">
                  <c:v>N</c:v>
                </c:pt>
              </c:strCache>
            </c:strRef>
          </c:tx>
          <c:cat>
            <c:multiLvlStrRef>
              <c:f>'Residencies vs. General'!$A$7:$B$24</c:f>
              <c:multiLvlStrCache>
                <c:ptCount val="10"/>
                <c:lvl>
                  <c:pt idx="0">
                    <c:v>H</c:v>
                  </c:pt>
                  <c:pt idx="1">
                    <c:v>D</c:v>
                  </c:pt>
                  <c:pt idx="2">
                    <c:v>H</c:v>
                  </c:pt>
                  <c:pt idx="3">
                    <c:v>Dones</c:v>
                  </c:pt>
                  <c:pt idx="4">
                    <c:v>Homes</c:v>
                  </c:pt>
                  <c:pt idx="5">
                    <c:v>Dones</c:v>
                  </c:pt>
                  <c:pt idx="6">
                    <c:v>Homes</c:v>
                  </c:pt>
                  <c:pt idx="7">
                    <c:v>Dones</c:v>
                  </c:pt>
                  <c:pt idx="8">
                    <c:v>Homes</c:v>
                  </c:pt>
                  <c:pt idx="9">
                    <c:v>Dones</c:v>
                  </c:pt>
                </c:lvl>
                <c:lvl>
                  <c:pt idx="0">
                    <c:v>AP</c:v>
                  </c:pt>
                  <c:pt idx="2">
                    <c:v>AD</c:v>
                  </c:pt>
                  <c:pt idx="4">
                    <c:v>HS</c:v>
                  </c:pt>
                  <c:pt idx="6">
                    <c:v>AC</c:v>
                  </c:pt>
                  <c:pt idx="8">
                    <c:v>Tots</c:v>
                  </c:pt>
                </c:lvl>
              </c:multiLvlStrCache>
            </c:multiLvlStrRef>
          </c:cat>
          <c:val>
            <c:numRef>
              <c:f>'Residencies vs. General'!$E$7:$E$24</c:f>
            </c:numRef>
          </c:val>
        </c:ser>
        <c:ser>
          <c:idx val="3"/>
          <c:order val="3"/>
          <c:tx>
            <c:strRef>
              <c:f>Sexes!$F$6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rgbClr val="000099"/>
            </a:solidFill>
            <a:ln>
              <a:noFill/>
            </a:ln>
          </c:spPr>
          <c:cat>
            <c:multiLvlStrRef>
              <c:f>Sexes!$A$7:$B$28</c:f>
              <c:multiLvlStrCache>
                <c:ptCount val="14"/>
                <c:lvl>
                  <c:pt idx="0">
                    <c:v>H</c:v>
                  </c:pt>
                  <c:pt idx="1">
                    <c:v>D</c:v>
                  </c:pt>
                  <c:pt idx="3">
                    <c:v>H</c:v>
                  </c:pt>
                  <c:pt idx="4">
                    <c:v>D</c:v>
                  </c:pt>
                  <c:pt idx="6">
                    <c:v>H</c:v>
                  </c:pt>
                  <c:pt idx="7">
                    <c:v>D</c:v>
                  </c:pt>
                  <c:pt idx="9">
                    <c:v>H</c:v>
                  </c:pt>
                  <c:pt idx="10">
                    <c:v>D</c:v>
                  </c:pt>
                  <c:pt idx="12">
                    <c:v>H</c:v>
                  </c:pt>
                  <c:pt idx="13">
                    <c:v>D</c:v>
                  </c:pt>
                </c:lvl>
                <c:lvl>
                  <c:pt idx="0">
                    <c:v>AP</c:v>
                  </c:pt>
                  <c:pt idx="3">
                    <c:v>AD</c:v>
                  </c:pt>
                  <c:pt idx="6">
                    <c:v>HS</c:v>
                  </c:pt>
                  <c:pt idx="9">
                    <c:v>AC</c:v>
                  </c:pt>
                  <c:pt idx="12">
                    <c:v>Tots</c:v>
                  </c:pt>
                </c:lvl>
              </c:multiLvlStrCache>
            </c:multiLvlStrRef>
          </c:cat>
          <c:val>
            <c:numRef>
              <c:f>Sexes!$F$7:$F$28</c:f>
              <c:numCache>
                <c:formatCode>0.00</c:formatCode>
                <c:ptCount val="14"/>
                <c:pt idx="0">
                  <c:v>33.218247679420394</c:v>
                </c:pt>
                <c:pt idx="1">
                  <c:v>33.626797912512203</c:v>
                </c:pt>
                <c:pt idx="3">
                  <c:v>32.578673307674912</c:v>
                </c:pt>
                <c:pt idx="4">
                  <c:v>42.642878357164072</c:v>
                </c:pt>
                <c:pt idx="6">
                  <c:v>29.49400045279603</c:v>
                </c:pt>
                <c:pt idx="7">
                  <c:v>39.819254104968394</c:v>
                </c:pt>
                <c:pt idx="9">
                  <c:v>8.5974643423137884</c:v>
                </c:pt>
                <c:pt idx="10">
                  <c:v>10.861725147439433</c:v>
                </c:pt>
                <c:pt idx="12">
                  <c:v>61.2746207833368</c:v>
                </c:pt>
                <c:pt idx="13">
                  <c:v>70.942763799907468</c:v>
                </c:pt>
              </c:numCache>
            </c:numRef>
          </c:val>
        </c:ser>
        <c:gapWidth val="55"/>
        <c:overlap val="10"/>
        <c:axId val="164492032"/>
        <c:axId val="164493568"/>
      </c:barChart>
      <c:catAx>
        <c:axId val="164492032"/>
        <c:scaling>
          <c:orientation val="minMax"/>
        </c:scaling>
        <c:axPos val="b"/>
        <c:majorTickMark val="none"/>
        <c:tickLblPos val="nextTo"/>
        <c:spPr>
          <a:ln>
            <a:solidFill>
              <a:srgbClr val="000099"/>
            </a:solidFill>
          </a:ln>
        </c:spPr>
        <c:txPr>
          <a:bodyPr/>
          <a:lstStyle/>
          <a:p>
            <a:pPr>
              <a:defRPr lang="es-ES" sz="1600"/>
            </a:pPr>
            <a:endParaRPr lang="ca-ES"/>
          </a:p>
        </c:txPr>
        <c:crossAx val="164493568"/>
        <c:crosses val="autoZero"/>
        <c:auto val="1"/>
        <c:lblAlgn val="ctr"/>
        <c:lblOffset val="100"/>
      </c:catAx>
      <c:valAx>
        <c:axId val="164493568"/>
        <c:scaling>
          <c:orientation val="minMax"/>
        </c:scaling>
        <c:axPos val="l"/>
        <c:majorGridlines>
          <c:spPr>
            <a:ln w="3175">
              <a:solidFill>
                <a:schemeClr val="tx2">
                  <a:lumMod val="20000"/>
                  <a:lumOff val="80000"/>
                </a:schemeClr>
              </a:solidFill>
            </a:ln>
          </c:spPr>
        </c:majorGridlines>
        <c:numFmt formatCode="0" sourceLinked="0"/>
        <c:tickLblPos val="nextTo"/>
        <c:spPr>
          <a:ln>
            <a:solidFill>
              <a:srgbClr val="000099"/>
            </a:solidFill>
          </a:ln>
        </c:spPr>
        <c:txPr>
          <a:bodyPr/>
          <a:lstStyle/>
          <a:p>
            <a:pPr>
              <a:defRPr lang="es-ES" sz="1600"/>
            </a:pPr>
            <a:endParaRPr lang="ca-ES"/>
          </a:p>
        </c:txPr>
        <c:crossAx val="164492032"/>
        <c:crosses val="autoZero"/>
        <c:crossBetween val="between"/>
      </c:valAx>
    </c:plotArea>
    <c:plotVisOnly val="1"/>
    <c:dispBlanksAs val="gap"/>
  </c:chart>
  <c:spPr>
    <a:solidFill>
      <a:schemeClr val="bg1"/>
    </a:solidFill>
    <a:ln>
      <a:noFill/>
    </a:ln>
  </c:spPr>
  <c:txPr>
    <a:bodyPr/>
    <a:lstStyle/>
    <a:p>
      <a:pPr>
        <a:defRPr sz="1800">
          <a:solidFill>
            <a:srgbClr val="000099"/>
          </a:solidFill>
          <a:latin typeface="Calibri" pitchFamily="34" charset="0"/>
        </a:defRPr>
      </a:pPr>
      <a:endParaRPr lang="ca-ES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AE8A-E81A-4821-A1E0-71C39916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7</Pages>
  <Words>2132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FICF-UAB</Company>
  <LinksUpToDate>false</LinksUpToDate>
  <CharactersWithSpaces>13927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jrl</dc:creator>
  <cp:lastModifiedBy>jrl</cp:lastModifiedBy>
  <cp:revision>6</cp:revision>
  <dcterms:created xsi:type="dcterms:W3CDTF">2020-03-24T18:08:00Z</dcterms:created>
  <dcterms:modified xsi:type="dcterms:W3CDTF">2020-03-24T21:14:00Z</dcterms:modified>
</cp:coreProperties>
</file>